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269201" w14:textId="77777777" w:rsidR="0037637D" w:rsidRPr="00944D99" w:rsidRDefault="0037637D" w:rsidP="00623F7E">
      <w:pPr>
        <w:jc w:val="both"/>
        <w:rPr>
          <w:b/>
          <w:bCs/>
          <w:sz w:val="24"/>
          <w:szCs w:val="24"/>
        </w:rPr>
      </w:pPr>
      <w:r w:rsidRPr="00944D99">
        <w:rPr>
          <w:b/>
          <w:bCs/>
          <w:sz w:val="24"/>
          <w:szCs w:val="24"/>
        </w:rPr>
        <w:t xml:space="preserve">BAY </w:t>
      </w:r>
      <w:smartTag w:uri="urn:schemas-microsoft-com:office:smarttags" w:element="stockticker">
        <w:r w:rsidRPr="00944D99">
          <w:rPr>
            <w:b/>
            <w:bCs/>
            <w:sz w:val="24"/>
            <w:szCs w:val="24"/>
          </w:rPr>
          <w:t>AREA</w:t>
        </w:r>
      </w:smartTag>
      <w:r w:rsidRPr="00944D99">
        <w:rPr>
          <w:b/>
          <w:bCs/>
          <w:sz w:val="24"/>
          <w:szCs w:val="24"/>
        </w:rPr>
        <w:t xml:space="preserve"> </w:t>
      </w:r>
      <w:smartTag w:uri="urn:schemas-microsoft-com:office:smarttags" w:element="stockticker">
        <w:r w:rsidRPr="00944D99">
          <w:rPr>
            <w:b/>
            <w:bCs/>
            <w:sz w:val="24"/>
            <w:szCs w:val="24"/>
          </w:rPr>
          <w:t>AIR</w:t>
        </w:r>
      </w:smartTag>
      <w:r w:rsidRPr="00944D99">
        <w:rPr>
          <w:b/>
          <w:bCs/>
          <w:sz w:val="24"/>
          <w:szCs w:val="24"/>
        </w:rPr>
        <w:t xml:space="preserve"> QUALITY MANAGEMENT DISTRICT</w:t>
      </w:r>
    </w:p>
    <w:p w14:paraId="61BBD8BF" w14:textId="77777777" w:rsidR="0037637D" w:rsidRPr="00944D99" w:rsidRDefault="0037637D" w:rsidP="00623F7E">
      <w:pPr>
        <w:jc w:val="both"/>
        <w:rPr>
          <w:sz w:val="24"/>
          <w:szCs w:val="24"/>
        </w:rPr>
      </w:pPr>
      <w:r w:rsidRPr="00944D99">
        <w:rPr>
          <w:sz w:val="24"/>
          <w:szCs w:val="24"/>
        </w:rPr>
        <w:tab/>
        <w:t xml:space="preserve">            Memorandum</w:t>
      </w:r>
    </w:p>
    <w:p w14:paraId="7E7713EA" w14:textId="77777777" w:rsidR="0037637D" w:rsidRPr="007F7C54" w:rsidRDefault="0037637D" w:rsidP="00623F7E">
      <w:pPr>
        <w:jc w:val="both"/>
        <w:rPr>
          <w:sz w:val="24"/>
          <w:szCs w:val="24"/>
        </w:rPr>
      </w:pPr>
    </w:p>
    <w:p w14:paraId="69855929" w14:textId="3767CEEB" w:rsidR="0007221E" w:rsidRPr="007F7C54" w:rsidRDefault="0037637D" w:rsidP="00623F7E">
      <w:pPr>
        <w:pStyle w:val="Header1"/>
        <w:tabs>
          <w:tab w:val="left" w:pos="1080"/>
        </w:tabs>
        <w:jc w:val="both"/>
      </w:pPr>
      <w:r w:rsidRPr="007F7C54">
        <w:t>To:</w:t>
      </w:r>
      <w:r w:rsidRPr="007F7C54">
        <w:tab/>
      </w:r>
      <w:r w:rsidR="0007221E" w:rsidRPr="007F7C54">
        <w:t xml:space="preserve">Chairperson </w:t>
      </w:r>
      <w:r w:rsidR="00243A60" w:rsidRPr="007F7C54">
        <w:t>Davina Hurt</w:t>
      </w:r>
      <w:r w:rsidR="007B7511" w:rsidRPr="007F7C54">
        <w:t xml:space="preserve"> </w:t>
      </w:r>
      <w:r w:rsidR="0007221E" w:rsidRPr="007F7C54">
        <w:t xml:space="preserve">and Members </w:t>
      </w:r>
    </w:p>
    <w:p w14:paraId="3BBA6BC9" w14:textId="78F526A0" w:rsidR="0007221E" w:rsidRPr="00944D99" w:rsidRDefault="0007221E" w:rsidP="00623F7E">
      <w:pPr>
        <w:pStyle w:val="Header1"/>
        <w:tabs>
          <w:tab w:val="left" w:pos="1080"/>
        </w:tabs>
        <w:jc w:val="both"/>
      </w:pPr>
      <w:r w:rsidRPr="007F7C54">
        <w:tab/>
        <w:t xml:space="preserve">of the </w:t>
      </w:r>
      <w:r w:rsidR="00416E5B" w:rsidRPr="007F7C54">
        <w:t xml:space="preserve">Finance and </w:t>
      </w:r>
      <w:r w:rsidRPr="007F7C54">
        <w:t xml:space="preserve">Administration </w:t>
      </w:r>
      <w:r w:rsidRPr="00944D99">
        <w:t>Committee</w:t>
      </w:r>
    </w:p>
    <w:p w14:paraId="3CCB2F7C" w14:textId="79C5DB74" w:rsidR="0037637D" w:rsidRPr="00944D99" w:rsidRDefault="0037637D" w:rsidP="00623F7E">
      <w:pPr>
        <w:tabs>
          <w:tab w:val="left" w:pos="1080"/>
        </w:tabs>
        <w:jc w:val="both"/>
        <w:rPr>
          <w:sz w:val="24"/>
          <w:szCs w:val="24"/>
        </w:rPr>
      </w:pPr>
    </w:p>
    <w:p w14:paraId="59E982C9" w14:textId="77777777" w:rsidR="0037637D" w:rsidRPr="00944D99" w:rsidRDefault="0037637D" w:rsidP="00623F7E">
      <w:pPr>
        <w:tabs>
          <w:tab w:val="left" w:pos="1080"/>
        </w:tabs>
        <w:jc w:val="both"/>
        <w:outlineLvl w:val="0"/>
        <w:rPr>
          <w:sz w:val="24"/>
          <w:szCs w:val="24"/>
        </w:rPr>
      </w:pPr>
      <w:r w:rsidRPr="00944D99">
        <w:rPr>
          <w:sz w:val="24"/>
          <w:szCs w:val="24"/>
        </w:rPr>
        <w:t>From:</w:t>
      </w:r>
      <w:r w:rsidRPr="00944D99">
        <w:rPr>
          <w:sz w:val="24"/>
          <w:szCs w:val="24"/>
        </w:rPr>
        <w:tab/>
        <w:t>Chairperson Valerie J. Armento, Esq., and</w:t>
      </w:r>
    </w:p>
    <w:p w14:paraId="6E4B3195" w14:textId="77777777" w:rsidR="0037637D" w:rsidRPr="00944D99" w:rsidRDefault="0037637D" w:rsidP="00623F7E">
      <w:pPr>
        <w:tabs>
          <w:tab w:val="left" w:pos="1080"/>
        </w:tabs>
        <w:jc w:val="both"/>
        <w:outlineLvl w:val="0"/>
        <w:rPr>
          <w:sz w:val="24"/>
          <w:szCs w:val="24"/>
        </w:rPr>
      </w:pPr>
      <w:r w:rsidRPr="00944D99">
        <w:rPr>
          <w:sz w:val="24"/>
          <w:szCs w:val="24"/>
        </w:rPr>
        <w:tab/>
        <w:t>Members of the Hearing Board</w:t>
      </w:r>
    </w:p>
    <w:p w14:paraId="55BA15CB" w14:textId="77777777" w:rsidR="0037637D" w:rsidRPr="00A7710B" w:rsidRDefault="0037637D" w:rsidP="00623F7E">
      <w:pPr>
        <w:tabs>
          <w:tab w:val="left" w:pos="1080"/>
        </w:tabs>
        <w:jc w:val="both"/>
        <w:outlineLvl w:val="0"/>
        <w:rPr>
          <w:sz w:val="24"/>
          <w:szCs w:val="24"/>
        </w:rPr>
      </w:pPr>
    </w:p>
    <w:p w14:paraId="5EE2DF8A" w14:textId="5F73FF7B" w:rsidR="0037637D" w:rsidRPr="00A7710B" w:rsidRDefault="0037637D" w:rsidP="00623F7E">
      <w:pPr>
        <w:tabs>
          <w:tab w:val="left" w:pos="1080"/>
        </w:tabs>
        <w:jc w:val="both"/>
        <w:rPr>
          <w:sz w:val="24"/>
          <w:szCs w:val="24"/>
        </w:rPr>
      </w:pPr>
      <w:r w:rsidRPr="00A7710B">
        <w:rPr>
          <w:sz w:val="24"/>
          <w:szCs w:val="24"/>
        </w:rPr>
        <w:t>Date:</w:t>
      </w:r>
      <w:r w:rsidRPr="00A7710B">
        <w:rPr>
          <w:sz w:val="24"/>
          <w:szCs w:val="24"/>
        </w:rPr>
        <w:tab/>
      </w:r>
      <w:r w:rsidR="00560565">
        <w:rPr>
          <w:sz w:val="24"/>
          <w:szCs w:val="24"/>
        </w:rPr>
        <w:t>April 30</w:t>
      </w:r>
      <w:r w:rsidR="00243A60">
        <w:rPr>
          <w:sz w:val="24"/>
          <w:szCs w:val="24"/>
        </w:rPr>
        <w:t>, 2024</w:t>
      </w:r>
    </w:p>
    <w:p w14:paraId="40A6A652" w14:textId="77777777" w:rsidR="0037637D" w:rsidRPr="00944D99" w:rsidRDefault="0037637D" w:rsidP="00623F7E">
      <w:pPr>
        <w:jc w:val="both"/>
        <w:rPr>
          <w:sz w:val="24"/>
          <w:szCs w:val="24"/>
        </w:rPr>
      </w:pPr>
    </w:p>
    <w:p w14:paraId="544774ED" w14:textId="772CE722" w:rsidR="0037637D" w:rsidRPr="00944D99" w:rsidRDefault="0037637D" w:rsidP="00623F7E">
      <w:pPr>
        <w:tabs>
          <w:tab w:val="left" w:pos="1080"/>
        </w:tabs>
        <w:ind w:left="1080" w:hanging="1080"/>
        <w:jc w:val="both"/>
        <w:rPr>
          <w:sz w:val="24"/>
          <w:szCs w:val="24"/>
          <w:u w:val="single"/>
        </w:rPr>
      </w:pPr>
      <w:r w:rsidRPr="00944D99">
        <w:rPr>
          <w:sz w:val="24"/>
          <w:szCs w:val="24"/>
        </w:rPr>
        <w:t>Re:</w:t>
      </w:r>
      <w:r w:rsidRPr="00944D99">
        <w:rPr>
          <w:sz w:val="24"/>
          <w:szCs w:val="24"/>
        </w:rPr>
        <w:tab/>
      </w:r>
      <w:r w:rsidRPr="00185C4A">
        <w:rPr>
          <w:sz w:val="24"/>
          <w:szCs w:val="24"/>
        </w:rPr>
        <w:t xml:space="preserve">Hearing Board Quarterly Report: </w:t>
      </w:r>
      <w:r w:rsidR="00560565" w:rsidRPr="00185C4A">
        <w:rPr>
          <w:sz w:val="24"/>
          <w:szCs w:val="24"/>
        </w:rPr>
        <w:t>January</w:t>
      </w:r>
      <w:r w:rsidR="00416E5B" w:rsidRPr="00185C4A">
        <w:rPr>
          <w:sz w:val="24"/>
          <w:szCs w:val="24"/>
        </w:rPr>
        <w:t xml:space="preserve"> – </w:t>
      </w:r>
      <w:r w:rsidR="00560565" w:rsidRPr="00185C4A">
        <w:rPr>
          <w:sz w:val="24"/>
          <w:szCs w:val="24"/>
        </w:rPr>
        <w:t>March</w:t>
      </w:r>
      <w:r w:rsidR="00416E5B" w:rsidRPr="00185C4A">
        <w:rPr>
          <w:sz w:val="24"/>
          <w:szCs w:val="24"/>
        </w:rPr>
        <w:t xml:space="preserve"> </w:t>
      </w:r>
      <w:r w:rsidR="00E90051" w:rsidRPr="00185C4A">
        <w:rPr>
          <w:sz w:val="24"/>
          <w:szCs w:val="24"/>
        </w:rPr>
        <w:t>202</w:t>
      </w:r>
      <w:r w:rsidR="00560565" w:rsidRPr="00185C4A">
        <w:rPr>
          <w:sz w:val="24"/>
          <w:szCs w:val="24"/>
        </w:rPr>
        <w:t>4</w:t>
      </w:r>
      <w:r w:rsidR="006A027F" w:rsidRPr="00185C4A">
        <w:rPr>
          <w:sz w:val="24"/>
          <w:szCs w:val="24"/>
        </w:rPr>
        <w:tab/>
      </w:r>
      <w:r w:rsidR="008B7122" w:rsidRPr="00185C4A">
        <w:rPr>
          <w:sz w:val="24"/>
          <w:szCs w:val="24"/>
        </w:rPr>
        <w:tab/>
      </w:r>
      <w:r w:rsidR="006C7998" w:rsidRPr="00185C4A">
        <w:rPr>
          <w:sz w:val="24"/>
          <w:szCs w:val="24"/>
        </w:rPr>
        <w:tab/>
      </w:r>
      <w:r w:rsidR="00623F7E" w:rsidRPr="00185C4A">
        <w:rPr>
          <w:sz w:val="24"/>
          <w:szCs w:val="24"/>
        </w:rPr>
        <w:tab/>
      </w:r>
    </w:p>
    <w:p w14:paraId="545D7978" w14:textId="77777777" w:rsidR="0037637D" w:rsidRPr="00944D99" w:rsidRDefault="0037637D" w:rsidP="00623F7E">
      <w:pPr>
        <w:jc w:val="both"/>
        <w:rPr>
          <w:color w:val="FF0000"/>
          <w:sz w:val="24"/>
          <w:szCs w:val="24"/>
          <w:u w:val="single"/>
        </w:rPr>
      </w:pPr>
    </w:p>
    <w:p w14:paraId="2109D47A" w14:textId="77777777" w:rsidR="0037637D" w:rsidRPr="00944D99" w:rsidRDefault="0037637D" w:rsidP="00623F7E">
      <w:pPr>
        <w:jc w:val="both"/>
        <w:rPr>
          <w:sz w:val="24"/>
          <w:szCs w:val="24"/>
        </w:rPr>
      </w:pPr>
      <w:r w:rsidRPr="00944D99">
        <w:rPr>
          <w:sz w:val="24"/>
          <w:szCs w:val="24"/>
          <w:u w:val="single"/>
        </w:rPr>
        <w:t>RECOMMENDED ACTION</w:t>
      </w:r>
    </w:p>
    <w:p w14:paraId="112904AB" w14:textId="77777777" w:rsidR="0037637D" w:rsidRPr="00944D99" w:rsidRDefault="0037637D" w:rsidP="00623F7E">
      <w:pPr>
        <w:jc w:val="both"/>
        <w:rPr>
          <w:sz w:val="24"/>
          <w:szCs w:val="24"/>
        </w:rPr>
      </w:pPr>
    </w:p>
    <w:p w14:paraId="6DA4DE5F" w14:textId="77777777" w:rsidR="0037637D" w:rsidRPr="000455DD" w:rsidRDefault="0037637D" w:rsidP="00623F7E">
      <w:pPr>
        <w:jc w:val="both"/>
        <w:rPr>
          <w:sz w:val="24"/>
          <w:szCs w:val="24"/>
        </w:rPr>
      </w:pPr>
      <w:r w:rsidRPr="00944D99">
        <w:rPr>
          <w:sz w:val="24"/>
          <w:szCs w:val="24"/>
        </w:rPr>
        <w:t xml:space="preserve">None; </w:t>
      </w:r>
      <w:r w:rsidRPr="000455DD">
        <w:rPr>
          <w:sz w:val="24"/>
          <w:szCs w:val="24"/>
        </w:rPr>
        <w:t>receive and file.</w:t>
      </w:r>
    </w:p>
    <w:p w14:paraId="68F3E2F0" w14:textId="73A92682" w:rsidR="0037637D" w:rsidRPr="000455DD" w:rsidRDefault="0037637D" w:rsidP="00623F7E">
      <w:pPr>
        <w:jc w:val="both"/>
        <w:rPr>
          <w:sz w:val="24"/>
          <w:szCs w:val="24"/>
        </w:rPr>
      </w:pPr>
    </w:p>
    <w:p w14:paraId="5014A6F8" w14:textId="1BC7899C" w:rsidR="0037637D" w:rsidRPr="000455DD" w:rsidRDefault="0037637D" w:rsidP="00623F7E">
      <w:pPr>
        <w:jc w:val="both"/>
        <w:rPr>
          <w:sz w:val="24"/>
          <w:szCs w:val="24"/>
          <w:u w:val="single"/>
        </w:rPr>
      </w:pPr>
      <w:r w:rsidRPr="000455DD">
        <w:rPr>
          <w:sz w:val="24"/>
          <w:szCs w:val="24"/>
          <w:u w:val="single"/>
        </w:rPr>
        <w:t>DISCUSSI</w:t>
      </w:r>
      <w:r w:rsidR="007B7511" w:rsidRPr="000455DD">
        <w:rPr>
          <w:sz w:val="24"/>
          <w:szCs w:val="24"/>
          <w:u w:val="single"/>
        </w:rPr>
        <w:t>ON</w:t>
      </w:r>
    </w:p>
    <w:p w14:paraId="50F6F685" w14:textId="77777777" w:rsidR="007B7511" w:rsidRPr="000455DD" w:rsidRDefault="007B7511" w:rsidP="00623F7E">
      <w:pPr>
        <w:jc w:val="both"/>
        <w:rPr>
          <w:sz w:val="24"/>
          <w:szCs w:val="24"/>
        </w:rPr>
      </w:pPr>
    </w:p>
    <w:p w14:paraId="1A529E29" w14:textId="6E613A5D" w:rsidR="00E90051" w:rsidRPr="00560565" w:rsidRDefault="00B949CC" w:rsidP="00623F7E">
      <w:pPr>
        <w:jc w:val="both"/>
        <w:rPr>
          <w:i/>
          <w:iCs/>
          <w:sz w:val="24"/>
          <w:szCs w:val="24"/>
        </w:rPr>
      </w:pPr>
      <w:r w:rsidRPr="000455DD">
        <w:rPr>
          <w:sz w:val="24"/>
          <w:szCs w:val="24"/>
        </w:rPr>
        <w:t>T</w:t>
      </w:r>
      <w:r w:rsidR="00C266EC" w:rsidRPr="000455DD">
        <w:rPr>
          <w:sz w:val="24"/>
          <w:szCs w:val="24"/>
        </w:rPr>
        <w:t xml:space="preserve">his report covers the </w:t>
      </w:r>
      <w:r w:rsidR="00560565">
        <w:rPr>
          <w:sz w:val="24"/>
          <w:szCs w:val="24"/>
        </w:rPr>
        <w:t>first</w:t>
      </w:r>
      <w:r w:rsidR="00BA6BBD" w:rsidRPr="000455DD">
        <w:rPr>
          <w:sz w:val="24"/>
          <w:szCs w:val="24"/>
        </w:rPr>
        <w:t xml:space="preserve"> </w:t>
      </w:r>
      <w:r w:rsidR="00C266EC" w:rsidRPr="000455DD">
        <w:rPr>
          <w:sz w:val="24"/>
          <w:szCs w:val="24"/>
        </w:rPr>
        <w:t xml:space="preserve">calendar quarter </w:t>
      </w:r>
      <w:r w:rsidR="00B00A22" w:rsidRPr="000455DD">
        <w:rPr>
          <w:sz w:val="24"/>
          <w:szCs w:val="24"/>
        </w:rPr>
        <w:t>(</w:t>
      </w:r>
      <w:r w:rsidR="00560565" w:rsidRPr="00560565">
        <w:rPr>
          <w:sz w:val="24"/>
          <w:szCs w:val="24"/>
        </w:rPr>
        <w:t>January</w:t>
      </w:r>
      <w:r w:rsidR="00416E5B" w:rsidRPr="00560565">
        <w:rPr>
          <w:sz w:val="24"/>
          <w:szCs w:val="24"/>
        </w:rPr>
        <w:t xml:space="preserve"> </w:t>
      </w:r>
      <w:r w:rsidR="003910AE" w:rsidRPr="00560565">
        <w:rPr>
          <w:sz w:val="24"/>
          <w:szCs w:val="24"/>
        </w:rPr>
        <w:t xml:space="preserve">– </w:t>
      </w:r>
      <w:r w:rsidR="00560565" w:rsidRPr="00560565">
        <w:rPr>
          <w:sz w:val="24"/>
          <w:szCs w:val="24"/>
        </w:rPr>
        <w:t>March</w:t>
      </w:r>
      <w:r w:rsidR="003910AE" w:rsidRPr="00560565">
        <w:rPr>
          <w:sz w:val="24"/>
          <w:szCs w:val="24"/>
        </w:rPr>
        <w:t>)</w:t>
      </w:r>
      <w:r w:rsidR="00C266EC" w:rsidRPr="00560565">
        <w:rPr>
          <w:sz w:val="24"/>
          <w:szCs w:val="24"/>
        </w:rPr>
        <w:t xml:space="preserve"> of 20</w:t>
      </w:r>
      <w:r w:rsidR="00E90051" w:rsidRPr="00560565">
        <w:rPr>
          <w:sz w:val="24"/>
          <w:szCs w:val="24"/>
        </w:rPr>
        <w:t>2</w:t>
      </w:r>
      <w:r w:rsidR="00560565" w:rsidRPr="00560565">
        <w:rPr>
          <w:sz w:val="24"/>
          <w:szCs w:val="24"/>
        </w:rPr>
        <w:t>4</w:t>
      </w:r>
      <w:r w:rsidR="00243A60" w:rsidRPr="00560565">
        <w:rPr>
          <w:sz w:val="24"/>
          <w:szCs w:val="24"/>
        </w:rPr>
        <w:t>.</w:t>
      </w:r>
    </w:p>
    <w:p w14:paraId="2BF36E5E" w14:textId="77777777" w:rsidR="00A22945" w:rsidRPr="00560565" w:rsidRDefault="00A22945" w:rsidP="00623F7E">
      <w:pPr>
        <w:jc w:val="both"/>
        <w:rPr>
          <w:sz w:val="24"/>
          <w:szCs w:val="24"/>
        </w:rPr>
      </w:pPr>
    </w:p>
    <w:p w14:paraId="740687A9" w14:textId="07DE4216" w:rsidR="0037637D" w:rsidRPr="0013746B" w:rsidRDefault="0037637D" w:rsidP="00623F7E">
      <w:pPr>
        <w:pStyle w:val="Subtitle"/>
        <w:numPr>
          <w:ilvl w:val="0"/>
          <w:numId w:val="8"/>
        </w:numPr>
        <w:spacing w:after="0"/>
        <w:ind w:right="990"/>
        <w:jc w:val="both"/>
        <w:outlineLvl w:val="9"/>
        <w:rPr>
          <w:rFonts w:ascii="Times New Roman" w:hAnsi="Times New Roman" w:cs="Times New Roman"/>
        </w:rPr>
      </w:pPr>
      <w:r w:rsidRPr="00560565">
        <w:rPr>
          <w:rFonts w:ascii="Times New Roman" w:hAnsi="Times New Roman" w:cs="Times New Roman"/>
        </w:rPr>
        <w:t xml:space="preserve">Held </w:t>
      </w:r>
      <w:r w:rsidR="00560565" w:rsidRPr="00560565">
        <w:rPr>
          <w:rFonts w:ascii="Times New Roman" w:hAnsi="Times New Roman" w:cs="Times New Roman"/>
        </w:rPr>
        <w:t>three</w:t>
      </w:r>
      <w:r w:rsidR="00435A40" w:rsidRPr="00560565">
        <w:rPr>
          <w:rFonts w:ascii="Times New Roman" w:hAnsi="Times New Roman" w:cs="Times New Roman"/>
        </w:rPr>
        <w:t xml:space="preserve"> </w:t>
      </w:r>
      <w:r w:rsidRPr="00560565">
        <w:rPr>
          <w:rFonts w:ascii="Times New Roman" w:hAnsi="Times New Roman" w:cs="Times New Roman"/>
        </w:rPr>
        <w:t>hearing</w:t>
      </w:r>
      <w:r w:rsidR="00D872A8" w:rsidRPr="00560565">
        <w:rPr>
          <w:rFonts w:ascii="Times New Roman" w:hAnsi="Times New Roman" w:cs="Times New Roman"/>
        </w:rPr>
        <w:t>s</w:t>
      </w:r>
      <w:r w:rsidR="007F7C54" w:rsidRPr="00560565">
        <w:rPr>
          <w:rFonts w:ascii="Times New Roman" w:hAnsi="Times New Roman" w:cs="Times New Roman"/>
        </w:rPr>
        <w:t xml:space="preserve"> (</w:t>
      </w:r>
      <w:r w:rsidR="00560565" w:rsidRPr="0013746B">
        <w:rPr>
          <w:rFonts w:ascii="Times New Roman" w:hAnsi="Times New Roman" w:cs="Times New Roman"/>
        </w:rPr>
        <w:t>also held one</w:t>
      </w:r>
      <w:r w:rsidR="007F7C54" w:rsidRPr="0013746B">
        <w:rPr>
          <w:rFonts w:ascii="Times New Roman" w:hAnsi="Times New Roman" w:cs="Times New Roman"/>
        </w:rPr>
        <w:t xml:space="preserve"> pre-hearing conference)</w:t>
      </w:r>
      <w:r w:rsidRPr="0013746B">
        <w:rPr>
          <w:rFonts w:ascii="Times New Roman" w:hAnsi="Times New Roman" w:cs="Times New Roman"/>
        </w:rPr>
        <w:t xml:space="preserve">; </w:t>
      </w:r>
    </w:p>
    <w:p w14:paraId="398F42CD" w14:textId="319E473A" w:rsidR="0037637D" w:rsidRPr="0013746B" w:rsidRDefault="0037637D" w:rsidP="00623F7E">
      <w:pPr>
        <w:pStyle w:val="Subtitle"/>
        <w:numPr>
          <w:ilvl w:val="0"/>
          <w:numId w:val="8"/>
        </w:numPr>
        <w:spacing w:after="0"/>
        <w:ind w:right="990"/>
        <w:jc w:val="both"/>
        <w:outlineLvl w:val="9"/>
        <w:rPr>
          <w:rFonts w:ascii="Times New Roman" w:hAnsi="Times New Roman" w:cs="Times New Roman"/>
        </w:rPr>
      </w:pPr>
      <w:r w:rsidRPr="0013746B">
        <w:rPr>
          <w:rFonts w:ascii="Times New Roman" w:hAnsi="Times New Roman" w:cs="Times New Roman"/>
        </w:rPr>
        <w:t xml:space="preserve">Processed </w:t>
      </w:r>
      <w:r w:rsidR="0013746B" w:rsidRPr="0013746B">
        <w:rPr>
          <w:rFonts w:ascii="Times New Roman" w:hAnsi="Times New Roman" w:cs="Times New Roman"/>
        </w:rPr>
        <w:t>four</w:t>
      </w:r>
      <w:r w:rsidR="002F3E48" w:rsidRPr="0013746B">
        <w:rPr>
          <w:rFonts w:ascii="Times New Roman" w:hAnsi="Times New Roman" w:cs="Times New Roman"/>
        </w:rPr>
        <w:t xml:space="preserve"> </w:t>
      </w:r>
      <w:r w:rsidR="00343838" w:rsidRPr="0013746B">
        <w:rPr>
          <w:rFonts w:ascii="Times New Roman" w:hAnsi="Times New Roman" w:cs="Times New Roman"/>
        </w:rPr>
        <w:t>order</w:t>
      </w:r>
      <w:r w:rsidR="00FC4E4C" w:rsidRPr="0013746B">
        <w:rPr>
          <w:rFonts w:ascii="Times New Roman" w:hAnsi="Times New Roman" w:cs="Times New Roman"/>
        </w:rPr>
        <w:t>s</w:t>
      </w:r>
      <w:r w:rsidR="00343838" w:rsidRPr="0013746B">
        <w:rPr>
          <w:rFonts w:ascii="Times New Roman" w:hAnsi="Times New Roman" w:cs="Times New Roman"/>
        </w:rPr>
        <w:t>:</w:t>
      </w:r>
      <w:r w:rsidRPr="0013746B">
        <w:rPr>
          <w:rFonts w:ascii="Times New Roman" w:hAnsi="Times New Roman" w:cs="Times New Roman"/>
        </w:rPr>
        <w:t xml:space="preserve"> and</w:t>
      </w:r>
    </w:p>
    <w:p w14:paraId="702C5FA8" w14:textId="24B71D3E" w:rsidR="00D24A13" w:rsidRPr="0013746B" w:rsidRDefault="0037637D" w:rsidP="006A72CF">
      <w:pPr>
        <w:pStyle w:val="Subtitle"/>
        <w:numPr>
          <w:ilvl w:val="0"/>
          <w:numId w:val="8"/>
        </w:numPr>
        <w:autoSpaceDE w:val="0"/>
        <w:autoSpaceDN w:val="0"/>
        <w:adjustRightInd w:val="0"/>
        <w:spacing w:after="0"/>
        <w:jc w:val="both"/>
        <w:outlineLvl w:val="9"/>
        <w:rPr>
          <w:rFonts w:eastAsia="Calibri"/>
        </w:rPr>
      </w:pPr>
      <w:r w:rsidRPr="0013746B">
        <w:rPr>
          <w:rFonts w:ascii="Times New Roman" w:hAnsi="Times New Roman" w:cs="Times New Roman"/>
        </w:rPr>
        <w:t>Collected a total of $</w:t>
      </w:r>
      <w:r w:rsidR="0013746B" w:rsidRPr="0013746B">
        <w:rPr>
          <w:rFonts w:ascii="Times New Roman" w:hAnsi="Times New Roman" w:cs="Times New Roman"/>
        </w:rPr>
        <w:t>9</w:t>
      </w:r>
      <w:r w:rsidR="003F274D" w:rsidRPr="0013746B">
        <w:rPr>
          <w:rFonts w:ascii="Times New Roman" w:hAnsi="Times New Roman" w:cs="Times New Roman"/>
        </w:rPr>
        <w:t>,</w:t>
      </w:r>
      <w:r w:rsidR="0013746B" w:rsidRPr="0013746B">
        <w:rPr>
          <w:rFonts w:ascii="Times New Roman" w:hAnsi="Times New Roman" w:cs="Times New Roman"/>
        </w:rPr>
        <w:t>404</w:t>
      </w:r>
      <w:r w:rsidR="00136AD9" w:rsidRPr="0013746B">
        <w:rPr>
          <w:rFonts w:ascii="Times New Roman" w:hAnsi="Times New Roman" w:cs="Times New Roman"/>
        </w:rPr>
        <w:t>.</w:t>
      </w:r>
      <w:r w:rsidR="0013746B" w:rsidRPr="0013746B">
        <w:rPr>
          <w:rFonts w:ascii="Times New Roman" w:hAnsi="Times New Roman" w:cs="Times New Roman"/>
        </w:rPr>
        <w:t>37</w:t>
      </w:r>
      <w:r w:rsidRPr="0013746B">
        <w:rPr>
          <w:rFonts w:ascii="Times New Roman" w:hAnsi="Times New Roman" w:cs="Times New Roman"/>
        </w:rPr>
        <w:t xml:space="preserve"> in</w:t>
      </w:r>
      <w:r w:rsidR="005E6FBA" w:rsidRPr="0013746B">
        <w:rPr>
          <w:rFonts w:ascii="Times New Roman" w:hAnsi="Times New Roman" w:cs="Times New Roman"/>
        </w:rPr>
        <w:t xml:space="preserve"> </w:t>
      </w:r>
      <w:r w:rsidR="00BE6CE4" w:rsidRPr="0013746B">
        <w:rPr>
          <w:rFonts w:ascii="Times New Roman" w:hAnsi="Times New Roman" w:cs="Times New Roman"/>
        </w:rPr>
        <w:t>Hearing Board</w:t>
      </w:r>
      <w:r w:rsidR="00BD461C" w:rsidRPr="0013746B">
        <w:rPr>
          <w:rFonts w:ascii="Times New Roman" w:hAnsi="Times New Roman" w:cs="Times New Roman"/>
        </w:rPr>
        <w:t xml:space="preserve"> </w:t>
      </w:r>
      <w:r w:rsidR="00CE16E0" w:rsidRPr="0013746B">
        <w:rPr>
          <w:rFonts w:ascii="Times New Roman" w:hAnsi="Times New Roman" w:cs="Times New Roman"/>
        </w:rPr>
        <w:t>fili</w:t>
      </w:r>
      <w:r w:rsidR="0013746B" w:rsidRPr="0013746B">
        <w:rPr>
          <w:rFonts w:ascii="Times New Roman" w:hAnsi="Times New Roman" w:cs="Times New Roman"/>
        </w:rPr>
        <w:t>ng and/or excess emission</w:t>
      </w:r>
      <w:r w:rsidR="00CE16E0" w:rsidRPr="0013746B">
        <w:rPr>
          <w:rFonts w:ascii="Times New Roman" w:hAnsi="Times New Roman" w:cs="Times New Roman"/>
        </w:rPr>
        <w:t xml:space="preserve"> </w:t>
      </w:r>
      <w:r w:rsidR="00BD461C" w:rsidRPr="0013746B">
        <w:rPr>
          <w:rFonts w:ascii="Times New Roman" w:hAnsi="Times New Roman" w:cs="Times New Roman"/>
        </w:rPr>
        <w:t>fees</w:t>
      </w:r>
      <w:r w:rsidR="00C04CBC" w:rsidRPr="0013746B">
        <w:rPr>
          <w:rFonts w:ascii="Times New Roman" w:hAnsi="Times New Roman" w:cs="Times New Roman"/>
        </w:rPr>
        <w:t xml:space="preserve"> </w:t>
      </w:r>
    </w:p>
    <w:p w14:paraId="669627A3" w14:textId="77777777" w:rsidR="003F274D" w:rsidRPr="00560565" w:rsidRDefault="003F274D" w:rsidP="00B14364">
      <w:pPr>
        <w:jc w:val="both"/>
        <w:rPr>
          <w:rFonts w:eastAsia="Calibri"/>
          <w:color w:val="FF0000"/>
          <w:sz w:val="24"/>
          <w:szCs w:val="24"/>
        </w:rPr>
      </w:pPr>
    </w:p>
    <w:p w14:paraId="3CA67F71" w14:textId="0354C855" w:rsidR="00B14364" w:rsidRPr="00560565" w:rsidRDefault="00151A48" w:rsidP="00B14364">
      <w:pPr>
        <w:jc w:val="both"/>
        <w:rPr>
          <w:rFonts w:eastAsia="Calibri"/>
          <w:color w:val="FF0000"/>
          <w:sz w:val="24"/>
          <w:szCs w:val="24"/>
        </w:rPr>
      </w:pPr>
      <w:r w:rsidRPr="00560565">
        <w:rPr>
          <w:rFonts w:eastAsia="Calibri"/>
          <w:sz w:val="24"/>
          <w:szCs w:val="24"/>
        </w:rPr>
        <w:t>Below is a detail of Hearing Board activity during the same period:</w:t>
      </w:r>
    </w:p>
    <w:p w14:paraId="590BDA43" w14:textId="77777777" w:rsidR="00F92CCF" w:rsidRPr="00560565" w:rsidRDefault="00F92CCF" w:rsidP="00F92CCF">
      <w:pPr>
        <w:pBdr>
          <w:bottom w:val="single" w:sz="6" w:space="1" w:color="auto"/>
        </w:pBdr>
        <w:jc w:val="both"/>
        <w:rPr>
          <w:color w:val="FF0000"/>
          <w:sz w:val="24"/>
          <w:szCs w:val="24"/>
        </w:rPr>
      </w:pPr>
    </w:p>
    <w:p w14:paraId="16277406" w14:textId="2EB9FFE0" w:rsidR="00FE2D4D" w:rsidRPr="00560565" w:rsidRDefault="00FE2D4D" w:rsidP="001E5C9C">
      <w:pPr>
        <w:jc w:val="both"/>
        <w:rPr>
          <w:color w:val="FF0000"/>
          <w:sz w:val="24"/>
          <w:szCs w:val="24"/>
        </w:rPr>
      </w:pPr>
    </w:p>
    <w:p w14:paraId="2AF16F7B" w14:textId="0B63FA75" w:rsidR="00FE2D4D" w:rsidRPr="00560565" w:rsidRDefault="00FE2D4D" w:rsidP="00FE2D4D">
      <w:pPr>
        <w:jc w:val="both"/>
        <w:rPr>
          <w:b/>
          <w:bCs/>
          <w:sz w:val="24"/>
          <w:szCs w:val="24"/>
          <w:u w:val="single"/>
        </w:rPr>
      </w:pPr>
      <w:r w:rsidRPr="00560565">
        <w:rPr>
          <w:b/>
          <w:bCs/>
          <w:sz w:val="24"/>
          <w:szCs w:val="24"/>
          <w:u w:val="single"/>
        </w:rPr>
        <w:t xml:space="preserve">Docket: 3745 – </w:t>
      </w:r>
      <w:r w:rsidR="003A2263" w:rsidRPr="00560565">
        <w:rPr>
          <w:b/>
          <w:bCs/>
          <w:sz w:val="24"/>
          <w:szCs w:val="24"/>
          <w:u w:val="single"/>
        </w:rPr>
        <w:t>Silicon Valley Clean Water</w:t>
      </w:r>
      <w:r w:rsidRPr="00560565">
        <w:rPr>
          <w:b/>
          <w:bCs/>
          <w:sz w:val="24"/>
          <w:szCs w:val="24"/>
          <w:u w:val="single"/>
        </w:rPr>
        <w:t xml:space="preserve">– Request for </w:t>
      </w:r>
      <w:r w:rsidR="003A2263" w:rsidRPr="00560565">
        <w:rPr>
          <w:b/>
          <w:bCs/>
          <w:sz w:val="24"/>
          <w:szCs w:val="24"/>
          <w:u w:val="single"/>
        </w:rPr>
        <w:t>Emergency</w:t>
      </w:r>
      <w:r w:rsidRPr="00560565">
        <w:rPr>
          <w:b/>
          <w:bCs/>
          <w:sz w:val="24"/>
          <w:szCs w:val="24"/>
          <w:u w:val="single"/>
        </w:rPr>
        <w:t xml:space="preserve"> Variance </w:t>
      </w:r>
    </w:p>
    <w:p w14:paraId="0B4E97A1" w14:textId="77777777" w:rsidR="00FE2D4D" w:rsidRPr="00560565" w:rsidRDefault="00FE2D4D" w:rsidP="00FE2D4D">
      <w:pPr>
        <w:jc w:val="both"/>
        <w:rPr>
          <w:b/>
          <w:bCs/>
          <w:sz w:val="24"/>
          <w:szCs w:val="24"/>
        </w:rPr>
      </w:pPr>
    </w:p>
    <w:p w14:paraId="611BBC13" w14:textId="4163C88E" w:rsidR="00FE2D4D" w:rsidRPr="00560565" w:rsidRDefault="00FE2D4D" w:rsidP="00FE2D4D">
      <w:pPr>
        <w:jc w:val="both"/>
        <w:rPr>
          <w:sz w:val="24"/>
          <w:szCs w:val="24"/>
          <w:highlight w:val="yellow"/>
        </w:rPr>
      </w:pPr>
      <w:r w:rsidRPr="00560565">
        <w:rPr>
          <w:b/>
          <w:bCs/>
          <w:sz w:val="24"/>
          <w:szCs w:val="24"/>
        </w:rPr>
        <w:t>Location:</w:t>
      </w:r>
      <w:r w:rsidRPr="00560565">
        <w:rPr>
          <w:sz w:val="24"/>
          <w:szCs w:val="24"/>
        </w:rPr>
        <w:t xml:space="preserve"> </w:t>
      </w:r>
      <w:r w:rsidR="003A2263" w:rsidRPr="00560565">
        <w:rPr>
          <w:sz w:val="24"/>
          <w:szCs w:val="24"/>
        </w:rPr>
        <w:t>San Mateo</w:t>
      </w:r>
      <w:r w:rsidRPr="00560565">
        <w:rPr>
          <w:sz w:val="24"/>
          <w:szCs w:val="24"/>
        </w:rPr>
        <w:t xml:space="preserve"> </w:t>
      </w:r>
      <w:smartTag w:uri="urn:schemas-microsoft-com:office:smarttags" w:element="date">
        <w:smartTagPr>
          <w:attr w:name="Month" w:val="5"/>
          <w:attr w:name="Day" w:val="1"/>
          <w:attr w:name="Year" w:val="2011"/>
        </w:smartTagPr>
        <w:r w:rsidRPr="00560565">
          <w:rPr>
            <w:sz w:val="24"/>
            <w:szCs w:val="24"/>
          </w:rPr>
          <w:t>County</w:t>
        </w:r>
      </w:smartTag>
      <w:r w:rsidRPr="00560565">
        <w:rPr>
          <w:sz w:val="24"/>
          <w:szCs w:val="24"/>
        </w:rPr>
        <w:t xml:space="preserve">; City of </w:t>
      </w:r>
      <w:r w:rsidR="003A2263" w:rsidRPr="00560565">
        <w:rPr>
          <w:sz w:val="24"/>
          <w:szCs w:val="24"/>
        </w:rPr>
        <w:t>Redwood City</w:t>
      </w:r>
    </w:p>
    <w:p w14:paraId="000B14C6" w14:textId="77777777" w:rsidR="00FE2D4D" w:rsidRPr="00560565" w:rsidRDefault="00FE2D4D" w:rsidP="00FE2D4D">
      <w:pPr>
        <w:jc w:val="both"/>
        <w:rPr>
          <w:sz w:val="24"/>
          <w:szCs w:val="24"/>
          <w:highlight w:val="yellow"/>
        </w:rPr>
      </w:pPr>
    </w:p>
    <w:p w14:paraId="129FC615" w14:textId="57473A99" w:rsidR="003A2263" w:rsidRPr="00560565" w:rsidRDefault="003A2263" w:rsidP="003A2263">
      <w:pPr>
        <w:jc w:val="both"/>
        <w:rPr>
          <w:sz w:val="24"/>
          <w:szCs w:val="24"/>
        </w:rPr>
      </w:pPr>
      <w:r w:rsidRPr="00560565">
        <w:rPr>
          <w:b/>
          <w:bCs/>
          <w:sz w:val="24"/>
          <w:szCs w:val="24"/>
        </w:rPr>
        <w:t>Regulation(s):</w:t>
      </w:r>
      <w:r w:rsidRPr="00560565">
        <w:rPr>
          <w:sz w:val="24"/>
          <w:szCs w:val="24"/>
        </w:rPr>
        <w:t xml:space="preserve"> Regulation 2 Rule 1, Section 307 (Permits, General Requirements, Failure to Meet Permit Conditions); Regulation 9, Rule 2, Section 301 (Inorganic Gaseous Pollutants, Hydrogen Sulfide, Limitations on Hydrogen Sulfide); and Permit Condition #26966, Parts 1, 3, 5.</w:t>
      </w:r>
    </w:p>
    <w:p w14:paraId="672871E8" w14:textId="77777777" w:rsidR="00FE2D4D" w:rsidRPr="00560565" w:rsidRDefault="00FE2D4D" w:rsidP="00FE2D4D">
      <w:pPr>
        <w:jc w:val="both"/>
        <w:rPr>
          <w:sz w:val="24"/>
          <w:szCs w:val="24"/>
          <w:highlight w:val="yellow"/>
        </w:rPr>
      </w:pPr>
    </w:p>
    <w:p w14:paraId="15A6CE90" w14:textId="14086D0C" w:rsidR="00FE2D4D" w:rsidRPr="00560565" w:rsidRDefault="00FE2D4D" w:rsidP="00FE2D4D">
      <w:pPr>
        <w:autoSpaceDE w:val="0"/>
        <w:autoSpaceDN w:val="0"/>
        <w:adjustRightInd w:val="0"/>
        <w:jc w:val="both"/>
        <w:rPr>
          <w:sz w:val="24"/>
          <w:szCs w:val="24"/>
        </w:rPr>
      </w:pPr>
      <w:r w:rsidRPr="00560565">
        <w:rPr>
          <w:b/>
          <w:bCs/>
          <w:sz w:val="24"/>
          <w:szCs w:val="24"/>
        </w:rPr>
        <w:t>Synopsis:</w:t>
      </w:r>
      <w:r w:rsidRPr="00560565">
        <w:rPr>
          <w:sz w:val="24"/>
          <w:szCs w:val="24"/>
        </w:rPr>
        <w:t xml:space="preserve"> </w:t>
      </w:r>
      <w:r w:rsidR="00AF7607" w:rsidRPr="00560565">
        <w:rPr>
          <w:sz w:val="24"/>
          <w:szCs w:val="24"/>
        </w:rPr>
        <w:t xml:space="preserve">The Applicant </w:t>
      </w:r>
      <w:r w:rsidR="00AF7607" w:rsidRPr="00560565">
        <w:rPr>
          <w:rFonts w:eastAsia="Calibri"/>
          <w:sz w:val="24"/>
          <w:szCs w:val="24"/>
        </w:rPr>
        <w:t>owns and operates a regional wastewater treatment plant within Redwood City.</w:t>
      </w:r>
    </w:p>
    <w:p w14:paraId="3B4F38C3" w14:textId="77777777" w:rsidR="00FE2D4D" w:rsidRPr="00560565" w:rsidRDefault="00FE2D4D" w:rsidP="00FE2D4D">
      <w:pPr>
        <w:autoSpaceDE w:val="0"/>
        <w:autoSpaceDN w:val="0"/>
        <w:adjustRightInd w:val="0"/>
        <w:jc w:val="both"/>
        <w:rPr>
          <w:sz w:val="24"/>
          <w:szCs w:val="24"/>
        </w:rPr>
      </w:pPr>
    </w:p>
    <w:p w14:paraId="6941717F" w14:textId="77777777" w:rsidR="00FE2D4D" w:rsidRPr="00560565" w:rsidRDefault="00FE2D4D" w:rsidP="00FE2D4D">
      <w:pPr>
        <w:autoSpaceDE w:val="0"/>
        <w:autoSpaceDN w:val="0"/>
        <w:adjustRightInd w:val="0"/>
        <w:rPr>
          <w:rFonts w:eastAsia="Calibri"/>
          <w:sz w:val="24"/>
          <w:szCs w:val="24"/>
        </w:rPr>
      </w:pPr>
      <w:r w:rsidRPr="00560565">
        <w:rPr>
          <w:rFonts w:eastAsia="Calibri"/>
          <w:sz w:val="24"/>
          <w:szCs w:val="24"/>
        </w:rPr>
        <w:t>From Applicant:</w:t>
      </w:r>
    </w:p>
    <w:p w14:paraId="0EABFB1E" w14:textId="77777777" w:rsidR="00FE2D4D" w:rsidRPr="00560565" w:rsidRDefault="00FE2D4D" w:rsidP="00AF7607">
      <w:pPr>
        <w:autoSpaceDE w:val="0"/>
        <w:autoSpaceDN w:val="0"/>
        <w:adjustRightInd w:val="0"/>
        <w:jc w:val="both"/>
        <w:rPr>
          <w:i/>
          <w:iCs/>
          <w:sz w:val="24"/>
          <w:szCs w:val="24"/>
        </w:rPr>
      </w:pPr>
    </w:p>
    <w:p w14:paraId="5C75FFA5" w14:textId="6B7CCE97" w:rsidR="00AF7607" w:rsidRPr="00560565" w:rsidRDefault="00AF7607" w:rsidP="00AF7607">
      <w:pPr>
        <w:autoSpaceDE w:val="0"/>
        <w:autoSpaceDN w:val="0"/>
        <w:adjustRightInd w:val="0"/>
        <w:jc w:val="both"/>
        <w:rPr>
          <w:rFonts w:eastAsia="Calibri"/>
          <w:i/>
          <w:iCs/>
          <w:sz w:val="24"/>
          <w:szCs w:val="24"/>
        </w:rPr>
      </w:pPr>
      <w:r w:rsidRPr="00560565">
        <w:rPr>
          <w:rFonts w:eastAsia="Calibri"/>
          <w:i/>
          <w:iCs/>
          <w:sz w:val="24"/>
          <w:szCs w:val="24"/>
        </w:rPr>
        <w:t>Fan #1 for Scrubber A-23 catastrophically failed and sent broken pieces of fan and fiberglass casing off of the SVCW property. SVCW personnel discovered the failure immediately after it occurred on Sunday, 9/24/23 at approximately 11 :00 AM.</w:t>
      </w:r>
    </w:p>
    <w:p w14:paraId="14CC49BE" w14:textId="77777777" w:rsidR="00AF7607" w:rsidRPr="00560565" w:rsidRDefault="00AF7607" w:rsidP="00AF7607">
      <w:pPr>
        <w:autoSpaceDE w:val="0"/>
        <w:autoSpaceDN w:val="0"/>
        <w:adjustRightInd w:val="0"/>
        <w:jc w:val="both"/>
        <w:rPr>
          <w:rFonts w:eastAsia="Calibri"/>
          <w:i/>
          <w:iCs/>
          <w:sz w:val="24"/>
          <w:szCs w:val="24"/>
        </w:rPr>
      </w:pPr>
    </w:p>
    <w:p w14:paraId="067F3ACF" w14:textId="7C2E09DD" w:rsidR="00AF7607" w:rsidRPr="00560565" w:rsidRDefault="00AF7607" w:rsidP="00AF7607">
      <w:pPr>
        <w:autoSpaceDE w:val="0"/>
        <w:autoSpaceDN w:val="0"/>
        <w:adjustRightInd w:val="0"/>
        <w:jc w:val="both"/>
        <w:rPr>
          <w:rFonts w:eastAsia="Calibri"/>
          <w:i/>
          <w:iCs/>
          <w:sz w:val="24"/>
          <w:szCs w:val="24"/>
        </w:rPr>
      </w:pPr>
      <w:r w:rsidRPr="00560565">
        <w:rPr>
          <w:rFonts w:eastAsia="Calibri"/>
          <w:i/>
          <w:iCs/>
          <w:sz w:val="24"/>
          <w:szCs w:val="24"/>
        </w:rPr>
        <w:lastRenderedPageBreak/>
        <w:t>Scrubber A-23 continued to operate with back-up Fan #2, but there was a 1-hour period where a portion of the Fan #2 exhaust was being diverted through the damaged Fan #1 before SVCW personnel could correct this problem.</w:t>
      </w:r>
    </w:p>
    <w:p w14:paraId="32B94F3E" w14:textId="77777777" w:rsidR="00AF7607" w:rsidRPr="00560565" w:rsidRDefault="00AF7607" w:rsidP="00AF7607">
      <w:pPr>
        <w:autoSpaceDE w:val="0"/>
        <w:autoSpaceDN w:val="0"/>
        <w:adjustRightInd w:val="0"/>
        <w:jc w:val="both"/>
        <w:rPr>
          <w:rFonts w:eastAsia="Calibri"/>
          <w:i/>
          <w:iCs/>
          <w:sz w:val="24"/>
          <w:szCs w:val="24"/>
        </w:rPr>
      </w:pPr>
    </w:p>
    <w:p w14:paraId="76CD698A" w14:textId="087A5470" w:rsidR="00AF7607" w:rsidRPr="00560565" w:rsidRDefault="00AF7607" w:rsidP="00AF7607">
      <w:pPr>
        <w:autoSpaceDE w:val="0"/>
        <w:autoSpaceDN w:val="0"/>
        <w:adjustRightInd w:val="0"/>
        <w:jc w:val="both"/>
        <w:rPr>
          <w:rFonts w:eastAsia="Calibri"/>
          <w:i/>
          <w:iCs/>
          <w:sz w:val="24"/>
          <w:szCs w:val="24"/>
        </w:rPr>
      </w:pPr>
      <w:r w:rsidRPr="00560565">
        <w:rPr>
          <w:rFonts w:eastAsia="Calibri"/>
          <w:i/>
          <w:iCs/>
          <w:sz w:val="24"/>
          <w:szCs w:val="24"/>
        </w:rPr>
        <w:t>SVCW reduced the Fan #2 speed to 60% beginning at 8:30 PM on 9/24/23 out of concern that Fan #2 could experience a failure similar to Fan #1. SVCW ultimately shut off Fan #2 at 7:50 AM on Monday 9/25/23 due to safety concerns.</w:t>
      </w:r>
    </w:p>
    <w:p w14:paraId="4DA66F99" w14:textId="77777777" w:rsidR="00AF7607" w:rsidRPr="00560565" w:rsidRDefault="00AF7607" w:rsidP="00AF7607">
      <w:pPr>
        <w:autoSpaceDE w:val="0"/>
        <w:autoSpaceDN w:val="0"/>
        <w:adjustRightInd w:val="0"/>
        <w:jc w:val="both"/>
        <w:rPr>
          <w:rFonts w:eastAsia="Calibri"/>
          <w:i/>
          <w:iCs/>
          <w:sz w:val="24"/>
          <w:szCs w:val="24"/>
        </w:rPr>
      </w:pPr>
    </w:p>
    <w:p w14:paraId="6E9FBA68" w14:textId="5D1DAA49" w:rsidR="00AF7607" w:rsidRPr="00560565" w:rsidRDefault="00AF7607" w:rsidP="00AF7607">
      <w:pPr>
        <w:autoSpaceDE w:val="0"/>
        <w:autoSpaceDN w:val="0"/>
        <w:adjustRightInd w:val="0"/>
        <w:jc w:val="both"/>
        <w:rPr>
          <w:rFonts w:eastAsia="Calibri"/>
          <w:i/>
          <w:iCs/>
          <w:sz w:val="24"/>
          <w:szCs w:val="24"/>
        </w:rPr>
      </w:pPr>
      <w:r w:rsidRPr="00560565">
        <w:rPr>
          <w:rFonts w:eastAsia="Calibri"/>
          <w:i/>
          <w:iCs/>
          <w:sz w:val="24"/>
          <w:szCs w:val="24"/>
        </w:rPr>
        <w:t>The Fan #1 failure is currently under review by the fan manufacturer. No cause has been determined, but Fan #2 has been thoroughly inspected by the manufacturer and determined to be sound. Fan #2 returned to service at 7:00 AM on Wednesday, 9/27/23 at a reduced 75% load. SVCW has confirmed that the system is operating at a negative pressure at this reduced load, such that no uncontrolled emissions are escaping from the system. The circumstances leading to the need for this Emergency Variance were the result of a sudden and unforeseen failure of a new piece of air pollution control equipment the blower fan for the A-23 Packed Bed Scrubber. This failure was not the result of improper maintenance because the fan had been operating for only 19 days. This unforeseen failure resulted in the shutdown of back-up Fan #2 out of concern that</w:t>
      </w:r>
      <w:r w:rsidR="000614A2" w:rsidRPr="00560565">
        <w:rPr>
          <w:rFonts w:eastAsia="Calibri"/>
          <w:i/>
          <w:iCs/>
          <w:sz w:val="24"/>
          <w:szCs w:val="24"/>
        </w:rPr>
        <w:t xml:space="preserve"> </w:t>
      </w:r>
      <w:r w:rsidRPr="00560565">
        <w:rPr>
          <w:rFonts w:eastAsia="Calibri"/>
          <w:i/>
          <w:iCs/>
          <w:sz w:val="24"/>
          <w:szCs w:val="24"/>
        </w:rPr>
        <w:t>whatever defect or condition that caused Fan #1 to catastrophically fail could also cause Fan #2 to similarly fail.</w:t>
      </w:r>
    </w:p>
    <w:p w14:paraId="79C017FC" w14:textId="77777777" w:rsidR="00FE2D4D" w:rsidRPr="00560565" w:rsidRDefault="00FE2D4D" w:rsidP="00FE2D4D">
      <w:pPr>
        <w:jc w:val="both"/>
        <w:rPr>
          <w:b/>
          <w:bCs/>
          <w:sz w:val="24"/>
          <w:szCs w:val="24"/>
        </w:rPr>
      </w:pPr>
    </w:p>
    <w:p w14:paraId="59650A71" w14:textId="4E3E4F69" w:rsidR="00FE2D4D" w:rsidRPr="00560565" w:rsidRDefault="00FE2D4D" w:rsidP="00FE2D4D">
      <w:pPr>
        <w:autoSpaceDE w:val="0"/>
        <w:autoSpaceDN w:val="0"/>
        <w:adjustRightInd w:val="0"/>
        <w:jc w:val="both"/>
        <w:rPr>
          <w:sz w:val="24"/>
          <w:szCs w:val="24"/>
        </w:rPr>
      </w:pPr>
      <w:r w:rsidRPr="00560565">
        <w:rPr>
          <w:b/>
          <w:bCs/>
          <w:sz w:val="24"/>
          <w:szCs w:val="24"/>
        </w:rPr>
        <w:t>Requested Period of Variance:</w:t>
      </w:r>
      <w:r w:rsidRPr="00560565">
        <w:rPr>
          <w:sz w:val="24"/>
          <w:szCs w:val="24"/>
        </w:rPr>
        <w:t xml:space="preserve"> </w:t>
      </w:r>
      <w:r w:rsidR="000614A2" w:rsidRPr="00560565">
        <w:rPr>
          <w:sz w:val="24"/>
          <w:szCs w:val="24"/>
        </w:rPr>
        <w:t xml:space="preserve">September 25, 2023 at 7:00 am to October 24, 2023 at 7:00 am </w:t>
      </w:r>
    </w:p>
    <w:p w14:paraId="1464D3BF" w14:textId="77777777" w:rsidR="000614A2" w:rsidRPr="00560565" w:rsidRDefault="000614A2" w:rsidP="00FE2D4D">
      <w:pPr>
        <w:jc w:val="both"/>
        <w:rPr>
          <w:sz w:val="24"/>
          <w:szCs w:val="24"/>
        </w:rPr>
      </w:pPr>
    </w:p>
    <w:p w14:paraId="22A35942" w14:textId="3983F793" w:rsidR="000614A2" w:rsidRPr="00560565" w:rsidRDefault="00FE2D4D" w:rsidP="000614A2">
      <w:pPr>
        <w:jc w:val="both"/>
        <w:rPr>
          <w:rFonts w:eastAsia="Calibri"/>
          <w:b/>
          <w:bCs/>
          <w:sz w:val="24"/>
          <w:szCs w:val="24"/>
        </w:rPr>
      </w:pPr>
      <w:r w:rsidRPr="00560565">
        <w:rPr>
          <w:b/>
          <w:bCs/>
          <w:sz w:val="24"/>
          <w:szCs w:val="24"/>
        </w:rPr>
        <w:t>Estimated Excess Emissions:</w:t>
      </w:r>
      <w:r w:rsidRPr="00560565">
        <w:rPr>
          <w:sz w:val="24"/>
          <w:szCs w:val="24"/>
        </w:rPr>
        <w:t xml:space="preserve"> </w:t>
      </w:r>
      <w:r w:rsidR="000614A2" w:rsidRPr="00560565">
        <w:rPr>
          <w:sz w:val="24"/>
          <w:szCs w:val="24"/>
        </w:rPr>
        <w:t>(provided by Applicant)</w:t>
      </w:r>
    </w:p>
    <w:p w14:paraId="64CD991B" w14:textId="77777777" w:rsidR="00FE2D4D" w:rsidRPr="00560565" w:rsidRDefault="00FE2D4D" w:rsidP="00FE2D4D">
      <w:pPr>
        <w:jc w:val="both"/>
        <w:rPr>
          <w:rFonts w:ascii="FranklinGothic-Book" w:eastAsia="Calibri" w:hAnsi="FranklinGothic-Book" w:cs="FranklinGothic-Book"/>
          <w:sz w:val="22"/>
          <w:szCs w:val="22"/>
        </w:rPr>
      </w:pPr>
    </w:p>
    <w:tbl>
      <w:tblPr>
        <w:tblStyle w:val="TableGrid"/>
        <w:tblW w:w="0" w:type="auto"/>
        <w:tblLook w:val="04A0" w:firstRow="1" w:lastRow="0" w:firstColumn="1" w:lastColumn="0" w:noHBand="0" w:noVBand="1"/>
      </w:tblPr>
      <w:tblGrid>
        <w:gridCol w:w="2695"/>
        <w:gridCol w:w="6030"/>
      </w:tblGrid>
      <w:tr w:rsidR="00560565" w:rsidRPr="00560565" w14:paraId="0E9F33CC" w14:textId="77777777" w:rsidTr="000614A2">
        <w:tc>
          <w:tcPr>
            <w:tcW w:w="2695" w:type="dxa"/>
          </w:tcPr>
          <w:p w14:paraId="3E779F37" w14:textId="76ADD683" w:rsidR="000614A2" w:rsidRPr="00560565" w:rsidRDefault="000614A2" w:rsidP="00D2483F">
            <w:pPr>
              <w:jc w:val="center"/>
              <w:rPr>
                <w:rFonts w:eastAsia="Calibri" w:cs="Times New Roman"/>
                <w:b/>
                <w:bCs/>
                <w:sz w:val="24"/>
                <w:szCs w:val="24"/>
              </w:rPr>
            </w:pPr>
            <w:r w:rsidRPr="00560565">
              <w:rPr>
                <w:rFonts w:eastAsia="Calibri" w:cs="Times New Roman"/>
                <w:b/>
                <w:bCs/>
                <w:sz w:val="24"/>
                <w:szCs w:val="24"/>
              </w:rPr>
              <w:t>Pollutant</w:t>
            </w:r>
          </w:p>
        </w:tc>
        <w:tc>
          <w:tcPr>
            <w:tcW w:w="6030" w:type="dxa"/>
          </w:tcPr>
          <w:p w14:paraId="0D4441DB" w14:textId="5DAA9416" w:rsidR="000614A2" w:rsidRPr="00560565" w:rsidRDefault="000614A2" w:rsidP="000614A2">
            <w:pPr>
              <w:jc w:val="center"/>
              <w:rPr>
                <w:rFonts w:eastAsia="Calibri" w:cs="Times New Roman"/>
                <w:b/>
                <w:bCs/>
                <w:sz w:val="24"/>
                <w:szCs w:val="24"/>
              </w:rPr>
            </w:pPr>
            <w:r w:rsidRPr="00560565">
              <w:rPr>
                <w:rFonts w:eastAsia="Calibri" w:cs="Times New Roman"/>
                <w:b/>
                <w:bCs/>
                <w:sz w:val="24"/>
                <w:szCs w:val="24"/>
              </w:rPr>
              <w:t>Net Emissions After Mitigation (</w:t>
            </w:r>
            <w:proofErr w:type="spellStart"/>
            <w:r w:rsidRPr="00560565">
              <w:rPr>
                <w:rFonts w:eastAsia="Calibri" w:cs="Times New Roman"/>
                <w:b/>
                <w:bCs/>
                <w:sz w:val="24"/>
                <w:szCs w:val="24"/>
              </w:rPr>
              <w:t>lbs</w:t>
            </w:r>
            <w:proofErr w:type="spellEnd"/>
            <w:r w:rsidRPr="00560565">
              <w:rPr>
                <w:rFonts w:eastAsia="Calibri" w:cs="Times New Roman"/>
                <w:b/>
                <w:bCs/>
                <w:sz w:val="24"/>
                <w:szCs w:val="24"/>
              </w:rPr>
              <w:t>/day or Opacity%)</w:t>
            </w:r>
          </w:p>
        </w:tc>
      </w:tr>
      <w:tr w:rsidR="00560565" w:rsidRPr="00560565" w14:paraId="57781992" w14:textId="77777777" w:rsidTr="000614A2">
        <w:tc>
          <w:tcPr>
            <w:tcW w:w="2695" w:type="dxa"/>
          </w:tcPr>
          <w:p w14:paraId="0C92C64B" w14:textId="3B1C0617" w:rsidR="000614A2" w:rsidRPr="00560565" w:rsidRDefault="000614A2" w:rsidP="00D2483F">
            <w:pPr>
              <w:jc w:val="center"/>
              <w:rPr>
                <w:rFonts w:eastAsia="Calibri" w:cs="Times New Roman"/>
                <w:b/>
                <w:bCs/>
                <w:sz w:val="24"/>
                <w:szCs w:val="24"/>
              </w:rPr>
            </w:pPr>
            <w:r w:rsidRPr="00560565">
              <w:rPr>
                <w:rFonts w:eastAsia="Calibri" w:cs="Times New Roman"/>
                <w:b/>
                <w:bCs/>
                <w:sz w:val="24"/>
                <w:szCs w:val="24"/>
              </w:rPr>
              <w:t>NPCO (methane)</w:t>
            </w:r>
          </w:p>
        </w:tc>
        <w:tc>
          <w:tcPr>
            <w:tcW w:w="6030" w:type="dxa"/>
          </w:tcPr>
          <w:p w14:paraId="78F12DD4" w14:textId="5AB2A07A" w:rsidR="000614A2" w:rsidRPr="00560565" w:rsidRDefault="000614A2" w:rsidP="000614A2">
            <w:pPr>
              <w:jc w:val="center"/>
              <w:rPr>
                <w:rFonts w:eastAsia="Calibri" w:cs="Times New Roman"/>
                <w:sz w:val="24"/>
                <w:szCs w:val="24"/>
              </w:rPr>
            </w:pPr>
            <w:r w:rsidRPr="00560565">
              <w:rPr>
                <w:rFonts w:eastAsia="Calibri" w:cs="Times New Roman"/>
                <w:sz w:val="24"/>
                <w:szCs w:val="24"/>
              </w:rPr>
              <w:t>10.6 pounds total, 4.1 pounds per highest day</w:t>
            </w:r>
          </w:p>
        </w:tc>
      </w:tr>
      <w:tr w:rsidR="00560565" w:rsidRPr="00560565" w14:paraId="68E5A9BD" w14:textId="77777777" w:rsidTr="000614A2">
        <w:tc>
          <w:tcPr>
            <w:tcW w:w="2695" w:type="dxa"/>
          </w:tcPr>
          <w:p w14:paraId="3579E41C" w14:textId="5FF60D68" w:rsidR="000614A2" w:rsidRPr="00560565" w:rsidRDefault="000614A2" w:rsidP="00D2483F">
            <w:pPr>
              <w:jc w:val="center"/>
              <w:rPr>
                <w:rFonts w:eastAsia="Calibri" w:cs="Times New Roman"/>
                <w:b/>
                <w:bCs/>
                <w:sz w:val="24"/>
                <w:szCs w:val="24"/>
              </w:rPr>
            </w:pPr>
            <w:r w:rsidRPr="00560565">
              <w:rPr>
                <w:rFonts w:eastAsia="Calibri" w:cs="Times New Roman"/>
                <w:b/>
                <w:bCs/>
                <w:sz w:val="24"/>
                <w:szCs w:val="24"/>
              </w:rPr>
              <w:t>POC</w:t>
            </w:r>
          </w:p>
        </w:tc>
        <w:tc>
          <w:tcPr>
            <w:tcW w:w="6030" w:type="dxa"/>
          </w:tcPr>
          <w:p w14:paraId="0D149004" w14:textId="24AFD1C2" w:rsidR="000614A2" w:rsidRPr="00560565" w:rsidRDefault="000614A2" w:rsidP="000614A2">
            <w:pPr>
              <w:jc w:val="center"/>
              <w:rPr>
                <w:rFonts w:eastAsia="Calibri" w:cs="Times New Roman"/>
                <w:sz w:val="24"/>
                <w:szCs w:val="24"/>
              </w:rPr>
            </w:pPr>
            <w:r w:rsidRPr="00560565">
              <w:rPr>
                <w:rFonts w:eastAsia="Calibri" w:cs="Times New Roman"/>
                <w:sz w:val="24"/>
                <w:szCs w:val="24"/>
              </w:rPr>
              <w:t>15.7 pounds total, 6.0 pounds per highest day</w:t>
            </w:r>
          </w:p>
        </w:tc>
      </w:tr>
      <w:tr w:rsidR="00560565" w:rsidRPr="00560565" w14:paraId="781D0B19" w14:textId="77777777" w:rsidTr="000614A2">
        <w:tc>
          <w:tcPr>
            <w:tcW w:w="2695" w:type="dxa"/>
          </w:tcPr>
          <w:p w14:paraId="4DADB204" w14:textId="4728EC1E" w:rsidR="000614A2" w:rsidRPr="00560565" w:rsidRDefault="000614A2" w:rsidP="00D2483F">
            <w:pPr>
              <w:jc w:val="center"/>
              <w:rPr>
                <w:rFonts w:eastAsia="Calibri" w:cs="Times New Roman"/>
                <w:b/>
                <w:bCs/>
                <w:sz w:val="24"/>
                <w:szCs w:val="24"/>
              </w:rPr>
            </w:pPr>
            <w:r w:rsidRPr="00560565">
              <w:rPr>
                <w:rFonts w:eastAsia="Calibri" w:cs="Times New Roman"/>
                <w:b/>
                <w:bCs/>
                <w:sz w:val="24"/>
                <w:szCs w:val="24"/>
              </w:rPr>
              <w:t>H</w:t>
            </w:r>
            <w:r w:rsidRPr="00560565">
              <w:rPr>
                <w:rFonts w:eastAsia="Calibri" w:cs="Times New Roman"/>
                <w:b/>
                <w:bCs/>
                <w:sz w:val="24"/>
                <w:szCs w:val="24"/>
                <w:vertAlign w:val="subscript"/>
              </w:rPr>
              <w:t>2</w:t>
            </w:r>
            <w:r w:rsidRPr="00560565">
              <w:rPr>
                <w:rFonts w:eastAsia="Calibri" w:cs="Times New Roman"/>
                <w:b/>
                <w:bCs/>
                <w:sz w:val="24"/>
                <w:szCs w:val="24"/>
              </w:rPr>
              <w:t>S</w:t>
            </w:r>
          </w:p>
        </w:tc>
        <w:tc>
          <w:tcPr>
            <w:tcW w:w="6030" w:type="dxa"/>
          </w:tcPr>
          <w:p w14:paraId="7966CEEB" w14:textId="3CE44189" w:rsidR="000614A2" w:rsidRPr="00560565" w:rsidRDefault="000614A2" w:rsidP="000614A2">
            <w:pPr>
              <w:jc w:val="center"/>
              <w:rPr>
                <w:rFonts w:eastAsia="Calibri" w:cs="Times New Roman"/>
                <w:sz w:val="24"/>
                <w:szCs w:val="24"/>
              </w:rPr>
            </w:pPr>
            <w:r w:rsidRPr="00560565">
              <w:rPr>
                <w:rFonts w:eastAsia="Calibri" w:cs="Times New Roman"/>
                <w:sz w:val="24"/>
                <w:szCs w:val="24"/>
              </w:rPr>
              <w:t>23.5 pounds total, 10.0 pounds per highest day</w:t>
            </w:r>
          </w:p>
        </w:tc>
      </w:tr>
    </w:tbl>
    <w:p w14:paraId="653BB46E" w14:textId="77777777" w:rsidR="00FE2D4D" w:rsidRPr="00560565" w:rsidRDefault="00FE2D4D" w:rsidP="00FE2D4D">
      <w:pPr>
        <w:rPr>
          <w:sz w:val="24"/>
          <w:szCs w:val="24"/>
        </w:rPr>
      </w:pPr>
    </w:p>
    <w:p w14:paraId="43AE5A52" w14:textId="10EDDCE0" w:rsidR="00D24A13" w:rsidRPr="004B6D9F" w:rsidRDefault="00FE2D4D" w:rsidP="00631AB2">
      <w:pPr>
        <w:jc w:val="both"/>
        <w:rPr>
          <w:sz w:val="24"/>
          <w:szCs w:val="24"/>
        </w:rPr>
      </w:pPr>
      <w:r w:rsidRPr="004B6D9F">
        <w:rPr>
          <w:b/>
          <w:bCs/>
          <w:sz w:val="24"/>
          <w:szCs w:val="24"/>
        </w:rPr>
        <w:t>Fees collected this quarter:</w:t>
      </w:r>
      <w:r w:rsidRPr="004B6D9F">
        <w:rPr>
          <w:sz w:val="24"/>
          <w:szCs w:val="24"/>
        </w:rPr>
        <w:t xml:space="preserve"> $</w:t>
      </w:r>
      <w:r w:rsidR="00560565" w:rsidRPr="004B6D9F">
        <w:rPr>
          <w:sz w:val="24"/>
          <w:szCs w:val="24"/>
        </w:rPr>
        <w:t>148.37</w:t>
      </w:r>
      <w:r w:rsidR="00F166F0" w:rsidRPr="004B6D9F">
        <w:rPr>
          <w:sz w:val="24"/>
          <w:szCs w:val="24"/>
        </w:rPr>
        <w:t xml:space="preserve"> in </w:t>
      </w:r>
      <w:r w:rsidR="00560565" w:rsidRPr="004B6D9F">
        <w:rPr>
          <w:sz w:val="24"/>
          <w:szCs w:val="24"/>
        </w:rPr>
        <w:t>excess emission</w:t>
      </w:r>
      <w:r w:rsidR="00F166F0" w:rsidRPr="004B6D9F">
        <w:rPr>
          <w:sz w:val="24"/>
          <w:szCs w:val="24"/>
        </w:rPr>
        <w:t xml:space="preserve"> fees. </w:t>
      </w:r>
    </w:p>
    <w:p w14:paraId="2E82D920" w14:textId="77777777" w:rsidR="00FE2D4D" w:rsidRPr="004B6D9F" w:rsidRDefault="00FE2D4D" w:rsidP="00FE2D4D">
      <w:pPr>
        <w:jc w:val="both"/>
        <w:rPr>
          <w:sz w:val="24"/>
          <w:szCs w:val="24"/>
        </w:rPr>
      </w:pPr>
    </w:p>
    <w:p w14:paraId="118D2038" w14:textId="011F14C1" w:rsidR="00FE2D4D" w:rsidRPr="004B6D9F" w:rsidRDefault="00FE2D4D" w:rsidP="00916319">
      <w:pPr>
        <w:jc w:val="both"/>
        <w:rPr>
          <w:sz w:val="24"/>
          <w:szCs w:val="24"/>
        </w:rPr>
      </w:pPr>
      <w:r w:rsidRPr="004B6D9F">
        <w:rPr>
          <w:b/>
          <w:bCs/>
          <w:sz w:val="24"/>
          <w:szCs w:val="24"/>
        </w:rPr>
        <w:t xml:space="preserve">Status: </w:t>
      </w:r>
      <w:r w:rsidR="005E7051" w:rsidRPr="004B6D9F">
        <w:rPr>
          <w:sz w:val="24"/>
          <w:szCs w:val="24"/>
        </w:rPr>
        <w:t>Application for Emergency Variance filed by Applicant on September 28, 2023; Air District Staff Response filed on October 5, 2023; Hearing Board Response filed on October 1</w:t>
      </w:r>
      <w:r w:rsidR="004F5FAE" w:rsidRPr="004B6D9F">
        <w:rPr>
          <w:sz w:val="24"/>
          <w:szCs w:val="24"/>
        </w:rPr>
        <w:t>7</w:t>
      </w:r>
      <w:r w:rsidR="005E7051" w:rsidRPr="004B6D9F">
        <w:rPr>
          <w:sz w:val="24"/>
          <w:szCs w:val="24"/>
        </w:rPr>
        <w:t xml:space="preserve">, 2023; Order Granting Emergency Variance </w:t>
      </w:r>
      <w:r w:rsidR="004F5FAE" w:rsidRPr="004B6D9F">
        <w:rPr>
          <w:sz w:val="24"/>
          <w:szCs w:val="24"/>
        </w:rPr>
        <w:t>filed on October 17, 2023</w:t>
      </w:r>
      <w:r w:rsidR="005E7051" w:rsidRPr="004B6D9F">
        <w:rPr>
          <w:sz w:val="24"/>
          <w:szCs w:val="24"/>
        </w:rPr>
        <w:t>.</w:t>
      </w:r>
    </w:p>
    <w:p w14:paraId="62F62CD5" w14:textId="77777777" w:rsidR="004F5FAE" w:rsidRPr="004B6D9F" w:rsidRDefault="004F5FAE" w:rsidP="00916319">
      <w:pPr>
        <w:jc w:val="both"/>
        <w:rPr>
          <w:sz w:val="24"/>
          <w:szCs w:val="24"/>
        </w:rPr>
      </w:pPr>
    </w:p>
    <w:p w14:paraId="68E35A4E" w14:textId="464A748E" w:rsidR="004F5FAE" w:rsidRPr="004B6D9F" w:rsidRDefault="004F5FAE" w:rsidP="00916319">
      <w:pPr>
        <w:jc w:val="both"/>
        <w:rPr>
          <w:b/>
          <w:bCs/>
          <w:i/>
          <w:iCs/>
          <w:sz w:val="24"/>
          <w:szCs w:val="24"/>
        </w:rPr>
      </w:pPr>
      <w:r w:rsidRPr="004B6D9F">
        <w:rPr>
          <w:b/>
          <w:bCs/>
          <w:i/>
          <w:iCs/>
          <w:sz w:val="24"/>
          <w:szCs w:val="24"/>
        </w:rPr>
        <w:t>THE HEARING BOARD ORDERED:</w:t>
      </w:r>
    </w:p>
    <w:p w14:paraId="3A9682E0" w14:textId="77777777" w:rsidR="004F5FAE" w:rsidRPr="004B6D9F" w:rsidRDefault="004F5FAE" w:rsidP="00916319">
      <w:pPr>
        <w:jc w:val="both"/>
        <w:rPr>
          <w:sz w:val="24"/>
          <w:szCs w:val="24"/>
        </w:rPr>
      </w:pPr>
    </w:p>
    <w:p w14:paraId="79CF0E19" w14:textId="484EAAB3" w:rsidR="004F5FAE" w:rsidRPr="004B6D9F" w:rsidRDefault="00921F14" w:rsidP="00916319">
      <w:pPr>
        <w:jc w:val="both"/>
        <w:rPr>
          <w:i/>
          <w:iCs/>
          <w:sz w:val="24"/>
          <w:szCs w:val="24"/>
        </w:rPr>
      </w:pPr>
      <w:r w:rsidRPr="004B6D9F">
        <w:rPr>
          <w:i/>
          <w:iCs/>
          <w:sz w:val="24"/>
          <w:szCs w:val="24"/>
        </w:rPr>
        <w:t>An Emergency Variance from Air District Regulations: ATC No. 29273, Permit Condition #26966, Parts 1, 3, and 5; BAAQMD Reg 2-1-307, Failure to Meet Permit Conditions; and BAAQMD Reg 9-2-301, Limitations on Hydrogen Sulfide, is hereby granted from September 25, 2023, at 12:00 AM, to October 24, 2023, at 11:59 PM. However, Permit Condition #26966, Sections 3 and 5, remains in effect and enforceable during the variance period when A23 and blower fan #2 are operational.</w:t>
      </w:r>
    </w:p>
    <w:p w14:paraId="746D1E6D" w14:textId="77777777" w:rsidR="00916319" w:rsidRPr="004B6D9F" w:rsidRDefault="00916319" w:rsidP="00916319">
      <w:pPr>
        <w:pBdr>
          <w:bottom w:val="single" w:sz="6" w:space="1" w:color="auto"/>
        </w:pBdr>
        <w:jc w:val="both"/>
        <w:rPr>
          <w:color w:val="FF0000"/>
          <w:sz w:val="24"/>
          <w:szCs w:val="24"/>
        </w:rPr>
      </w:pPr>
    </w:p>
    <w:p w14:paraId="19352BEB" w14:textId="77777777" w:rsidR="00916319" w:rsidRPr="004B6D9F" w:rsidRDefault="00916319" w:rsidP="00916319">
      <w:pPr>
        <w:jc w:val="both"/>
        <w:rPr>
          <w:color w:val="FF0000"/>
          <w:sz w:val="24"/>
          <w:szCs w:val="24"/>
        </w:rPr>
      </w:pPr>
    </w:p>
    <w:p w14:paraId="2BC88141" w14:textId="77777777" w:rsidR="00560565" w:rsidRPr="004B6D9F" w:rsidRDefault="00560565" w:rsidP="00916319">
      <w:pPr>
        <w:jc w:val="both"/>
        <w:rPr>
          <w:b/>
          <w:bCs/>
          <w:color w:val="FF0000"/>
          <w:sz w:val="24"/>
          <w:szCs w:val="24"/>
          <w:u w:val="single"/>
        </w:rPr>
      </w:pPr>
    </w:p>
    <w:p w14:paraId="27E294A3" w14:textId="02A91648" w:rsidR="00916319" w:rsidRPr="004B6D9F" w:rsidRDefault="00916319" w:rsidP="00916319">
      <w:pPr>
        <w:jc w:val="both"/>
        <w:rPr>
          <w:b/>
          <w:bCs/>
          <w:sz w:val="24"/>
          <w:szCs w:val="24"/>
          <w:u w:val="single"/>
        </w:rPr>
      </w:pPr>
      <w:r w:rsidRPr="004B6D9F">
        <w:rPr>
          <w:b/>
          <w:bCs/>
          <w:sz w:val="24"/>
          <w:szCs w:val="24"/>
          <w:u w:val="single"/>
        </w:rPr>
        <w:lastRenderedPageBreak/>
        <w:t>Docket: 3746 – APCO vs. Martin Marietta Materials, Inc. – Accusation of Violation of Regulation 2-1-302 and Request for Conditional Order for Abatement</w:t>
      </w:r>
      <w:r w:rsidRPr="004B6D9F">
        <w:rPr>
          <w:b/>
          <w:bCs/>
          <w:sz w:val="24"/>
          <w:szCs w:val="24"/>
        </w:rPr>
        <w:t xml:space="preserve"> </w:t>
      </w:r>
    </w:p>
    <w:p w14:paraId="3A6D08E2" w14:textId="77777777" w:rsidR="00916319" w:rsidRPr="004B6D9F" w:rsidRDefault="00916319" w:rsidP="00916319">
      <w:pPr>
        <w:jc w:val="both"/>
        <w:rPr>
          <w:b/>
          <w:bCs/>
          <w:sz w:val="24"/>
          <w:szCs w:val="24"/>
        </w:rPr>
      </w:pPr>
    </w:p>
    <w:p w14:paraId="03FA8D83" w14:textId="3571D122" w:rsidR="00916319" w:rsidRPr="004B6D9F" w:rsidRDefault="00916319" w:rsidP="00916319">
      <w:pPr>
        <w:jc w:val="both"/>
        <w:rPr>
          <w:sz w:val="24"/>
          <w:szCs w:val="24"/>
        </w:rPr>
      </w:pPr>
      <w:r w:rsidRPr="004B6D9F">
        <w:rPr>
          <w:b/>
          <w:bCs/>
          <w:sz w:val="24"/>
          <w:szCs w:val="24"/>
        </w:rPr>
        <w:t>Location:</w:t>
      </w:r>
      <w:r w:rsidRPr="004B6D9F">
        <w:rPr>
          <w:sz w:val="24"/>
          <w:szCs w:val="24"/>
        </w:rPr>
        <w:t xml:space="preserve"> San Francisco </w:t>
      </w:r>
      <w:smartTag w:uri="urn:schemas-microsoft-com:office:smarttags" w:element="date">
        <w:smartTagPr>
          <w:attr w:name="Month" w:val="5"/>
          <w:attr w:name="Day" w:val="1"/>
          <w:attr w:name="Year" w:val="2011"/>
        </w:smartTagPr>
        <w:r w:rsidRPr="004B6D9F">
          <w:rPr>
            <w:sz w:val="24"/>
            <w:szCs w:val="24"/>
          </w:rPr>
          <w:t>County</w:t>
        </w:r>
      </w:smartTag>
      <w:r w:rsidRPr="004B6D9F">
        <w:rPr>
          <w:sz w:val="24"/>
          <w:szCs w:val="24"/>
        </w:rPr>
        <w:t>; City of San Francisco</w:t>
      </w:r>
    </w:p>
    <w:p w14:paraId="3E13920A" w14:textId="77777777" w:rsidR="00916319" w:rsidRPr="004B6D9F" w:rsidRDefault="00916319" w:rsidP="00916319">
      <w:pPr>
        <w:jc w:val="both"/>
        <w:rPr>
          <w:sz w:val="24"/>
          <w:szCs w:val="24"/>
        </w:rPr>
      </w:pPr>
    </w:p>
    <w:p w14:paraId="0FD64CFF" w14:textId="2BD86DFB" w:rsidR="00916319" w:rsidRPr="004B6D9F" w:rsidRDefault="00916319" w:rsidP="00916319">
      <w:pPr>
        <w:jc w:val="both"/>
        <w:rPr>
          <w:sz w:val="24"/>
          <w:szCs w:val="24"/>
        </w:rPr>
      </w:pPr>
      <w:r w:rsidRPr="004B6D9F">
        <w:rPr>
          <w:b/>
          <w:bCs/>
          <w:sz w:val="24"/>
          <w:szCs w:val="24"/>
        </w:rPr>
        <w:t>Regulation(s):</w:t>
      </w:r>
      <w:r w:rsidRPr="004B6D9F">
        <w:rPr>
          <w:sz w:val="24"/>
          <w:szCs w:val="24"/>
        </w:rPr>
        <w:t xml:space="preserve"> Regulation 2 Rule 1, Section 302 (Permits, General Requirements, Permit to Operate)</w:t>
      </w:r>
    </w:p>
    <w:p w14:paraId="2B54916E" w14:textId="77777777" w:rsidR="00916319" w:rsidRPr="004B6D9F" w:rsidRDefault="00916319" w:rsidP="00916319">
      <w:pPr>
        <w:jc w:val="both"/>
        <w:rPr>
          <w:sz w:val="24"/>
          <w:szCs w:val="24"/>
        </w:rPr>
      </w:pPr>
    </w:p>
    <w:p w14:paraId="6C373CEA" w14:textId="1B4EEA87" w:rsidR="00725EE1" w:rsidRPr="004B6D9F" w:rsidRDefault="00916319" w:rsidP="00E56BA6">
      <w:pPr>
        <w:autoSpaceDE w:val="0"/>
        <w:autoSpaceDN w:val="0"/>
        <w:adjustRightInd w:val="0"/>
        <w:jc w:val="both"/>
        <w:rPr>
          <w:rFonts w:eastAsia="Calibri"/>
          <w:sz w:val="24"/>
          <w:szCs w:val="24"/>
        </w:rPr>
      </w:pPr>
      <w:r w:rsidRPr="004B6D9F">
        <w:rPr>
          <w:b/>
          <w:bCs/>
          <w:sz w:val="24"/>
          <w:szCs w:val="24"/>
        </w:rPr>
        <w:t>Synopsis:</w:t>
      </w:r>
      <w:r w:rsidRPr="004B6D9F">
        <w:rPr>
          <w:sz w:val="24"/>
          <w:szCs w:val="24"/>
        </w:rPr>
        <w:t xml:space="preserve"> </w:t>
      </w:r>
      <w:r w:rsidR="007F7A3C" w:rsidRPr="004B6D9F">
        <w:rPr>
          <w:rFonts w:eastAsia="Calibri"/>
          <w:sz w:val="24"/>
          <w:szCs w:val="24"/>
        </w:rPr>
        <w:t xml:space="preserve">Respondent operates an unpermitted sand yard located at Pier 92 at 480 Amador Street in San Francisco (hereinafter “Facility” or “Pier 92”), on land owned by and leased from the Port of San Francisco. </w:t>
      </w:r>
    </w:p>
    <w:p w14:paraId="3E0727B9" w14:textId="77777777" w:rsidR="005B7660" w:rsidRPr="004B6D9F" w:rsidRDefault="005B7660" w:rsidP="00E56BA6">
      <w:pPr>
        <w:autoSpaceDE w:val="0"/>
        <w:autoSpaceDN w:val="0"/>
        <w:adjustRightInd w:val="0"/>
        <w:jc w:val="both"/>
        <w:rPr>
          <w:rFonts w:eastAsia="Calibri"/>
          <w:sz w:val="24"/>
          <w:szCs w:val="24"/>
        </w:rPr>
      </w:pPr>
    </w:p>
    <w:p w14:paraId="5EFD0BDF" w14:textId="1A22A456" w:rsidR="00725EE1" w:rsidRPr="004B6D9F" w:rsidRDefault="00725EE1" w:rsidP="00E56BA6">
      <w:pPr>
        <w:autoSpaceDE w:val="0"/>
        <w:autoSpaceDN w:val="0"/>
        <w:adjustRightInd w:val="0"/>
        <w:jc w:val="both"/>
        <w:rPr>
          <w:rFonts w:eastAsia="Calibri"/>
          <w:sz w:val="24"/>
          <w:szCs w:val="24"/>
        </w:rPr>
      </w:pPr>
      <w:r w:rsidRPr="004B6D9F">
        <w:rPr>
          <w:rFonts w:eastAsia="Calibri"/>
          <w:sz w:val="24"/>
          <w:szCs w:val="24"/>
        </w:rPr>
        <w:t xml:space="preserve">From </w:t>
      </w:r>
      <w:r w:rsidR="00757D6F" w:rsidRPr="004B6D9F">
        <w:rPr>
          <w:rFonts w:eastAsia="Calibri"/>
          <w:sz w:val="24"/>
          <w:szCs w:val="24"/>
        </w:rPr>
        <w:t xml:space="preserve">the </w:t>
      </w:r>
      <w:r w:rsidRPr="004B6D9F">
        <w:rPr>
          <w:rFonts w:eastAsia="Calibri"/>
          <w:sz w:val="24"/>
          <w:szCs w:val="24"/>
        </w:rPr>
        <w:t>APCO:</w:t>
      </w:r>
    </w:p>
    <w:p w14:paraId="6A05465E" w14:textId="77777777" w:rsidR="00725EE1" w:rsidRPr="004B6D9F" w:rsidRDefault="00725EE1" w:rsidP="00E56BA6">
      <w:pPr>
        <w:autoSpaceDE w:val="0"/>
        <w:autoSpaceDN w:val="0"/>
        <w:adjustRightInd w:val="0"/>
        <w:jc w:val="both"/>
        <w:rPr>
          <w:rFonts w:eastAsia="Calibri"/>
          <w:sz w:val="24"/>
          <w:szCs w:val="24"/>
        </w:rPr>
      </w:pPr>
    </w:p>
    <w:p w14:paraId="3B1ADF00" w14:textId="64FA1BB1" w:rsidR="00E56BA6" w:rsidRPr="004B6D9F" w:rsidRDefault="007F7A3C" w:rsidP="00E56BA6">
      <w:pPr>
        <w:autoSpaceDE w:val="0"/>
        <w:autoSpaceDN w:val="0"/>
        <w:adjustRightInd w:val="0"/>
        <w:jc w:val="both"/>
        <w:rPr>
          <w:rFonts w:eastAsia="Calibri"/>
          <w:i/>
          <w:iCs/>
          <w:sz w:val="24"/>
          <w:szCs w:val="24"/>
        </w:rPr>
      </w:pPr>
      <w:r w:rsidRPr="004B6D9F">
        <w:rPr>
          <w:rFonts w:eastAsia="Calibri"/>
          <w:i/>
          <w:iCs/>
          <w:sz w:val="24"/>
          <w:szCs w:val="24"/>
        </w:rPr>
        <w:t>The Facility receives sand dredged from the San Francisco Bay, washes it, and stores it in stockpiles for sale to customers. The Facility’s operations result in emissions of air pollutants, including particulate matter and respirable crystalline silica. These are constituents of the sand that the Facility handles, and they can pose a threat to public health if they become airborne and are emitted into the air and the surrounding community in quantities exceeding applicable regulatory limits.</w:t>
      </w:r>
      <w:r w:rsidR="00E56BA6" w:rsidRPr="004B6D9F">
        <w:rPr>
          <w:rFonts w:eastAsia="Calibri"/>
          <w:i/>
          <w:iCs/>
          <w:sz w:val="24"/>
          <w:szCs w:val="24"/>
        </w:rPr>
        <w:t xml:space="preserve"> </w:t>
      </w:r>
    </w:p>
    <w:p w14:paraId="7670D9C9" w14:textId="77777777" w:rsidR="00E56BA6" w:rsidRPr="004B6D9F" w:rsidRDefault="00E56BA6" w:rsidP="00E56BA6">
      <w:pPr>
        <w:autoSpaceDE w:val="0"/>
        <w:autoSpaceDN w:val="0"/>
        <w:adjustRightInd w:val="0"/>
        <w:jc w:val="both"/>
        <w:rPr>
          <w:rFonts w:eastAsia="Calibri"/>
          <w:i/>
          <w:iCs/>
          <w:sz w:val="24"/>
          <w:szCs w:val="24"/>
        </w:rPr>
      </w:pPr>
    </w:p>
    <w:p w14:paraId="123DCDAB" w14:textId="77777777" w:rsidR="00E56BA6" w:rsidRPr="004B6D9F" w:rsidRDefault="00E56BA6" w:rsidP="00E56BA6">
      <w:pPr>
        <w:autoSpaceDE w:val="0"/>
        <w:autoSpaceDN w:val="0"/>
        <w:adjustRightInd w:val="0"/>
        <w:jc w:val="both"/>
        <w:rPr>
          <w:rFonts w:eastAsia="Calibri"/>
          <w:i/>
          <w:iCs/>
          <w:sz w:val="24"/>
          <w:szCs w:val="24"/>
        </w:rPr>
      </w:pPr>
      <w:r w:rsidRPr="004B6D9F">
        <w:rPr>
          <w:rFonts w:eastAsia="Calibri"/>
          <w:i/>
          <w:iCs/>
          <w:sz w:val="24"/>
          <w:szCs w:val="24"/>
        </w:rPr>
        <w:t xml:space="preserve">Until 2017, the Facility operated subject to an exemption from the Air District’s permitting requirements. This exemption provides that certain sand transfer operations do not need an Air District permit if the sand maintains a sufficient moisture level. Keeping the sand adequately wetted prevents particulate matter and crystalline silica from being emitted in quantities that would cause significant public health impacts. The Air District does not require a permit for the exempt operations, as long as they maintain a sufficient moisture content, given the low potential for significant air quality and public health impacts. </w:t>
      </w:r>
    </w:p>
    <w:p w14:paraId="0D5805BC" w14:textId="77777777" w:rsidR="00E56BA6" w:rsidRPr="004B6D9F" w:rsidRDefault="00E56BA6" w:rsidP="00E56BA6">
      <w:pPr>
        <w:autoSpaceDE w:val="0"/>
        <w:autoSpaceDN w:val="0"/>
        <w:adjustRightInd w:val="0"/>
        <w:jc w:val="both"/>
        <w:rPr>
          <w:rFonts w:eastAsia="Calibri"/>
          <w:i/>
          <w:iCs/>
          <w:sz w:val="24"/>
          <w:szCs w:val="24"/>
        </w:rPr>
      </w:pPr>
    </w:p>
    <w:p w14:paraId="665BE4AD" w14:textId="6807C687" w:rsidR="00916319" w:rsidRPr="004B6D9F" w:rsidRDefault="00E56BA6" w:rsidP="00E56BA6">
      <w:pPr>
        <w:autoSpaceDE w:val="0"/>
        <w:autoSpaceDN w:val="0"/>
        <w:adjustRightInd w:val="0"/>
        <w:jc w:val="both"/>
        <w:rPr>
          <w:rFonts w:eastAsia="Calibri"/>
          <w:i/>
          <w:iCs/>
          <w:sz w:val="24"/>
          <w:szCs w:val="24"/>
        </w:rPr>
      </w:pPr>
      <w:r w:rsidRPr="004B6D9F">
        <w:rPr>
          <w:rFonts w:eastAsia="Calibri"/>
          <w:i/>
          <w:iCs/>
          <w:sz w:val="24"/>
          <w:szCs w:val="24"/>
        </w:rPr>
        <w:t>In June 2017, the Air District discovered that the sand was not being kept sufficiently wetted to satisfy the requirements for an exemption. At that point, the Facility required an operating permit under Air District Regulation 2-1-302.1 Ongoing operations after that point were, and have been, in violation of Regulation 2-1-302.</w:t>
      </w:r>
    </w:p>
    <w:p w14:paraId="3921622A" w14:textId="77777777" w:rsidR="00E56BA6" w:rsidRPr="004B6D9F" w:rsidRDefault="00E56BA6" w:rsidP="00E56BA6">
      <w:pPr>
        <w:autoSpaceDE w:val="0"/>
        <w:autoSpaceDN w:val="0"/>
        <w:adjustRightInd w:val="0"/>
        <w:jc w:val="both"/>
        <w:rPr>
          <w:rFonts w:eastAsia="Calibri"/>
          <w:sz w:val="24"/>
          <w:szCs w:val="24"/>
        </w:rPr>
      </w:pPr>
    </w:p>
    <w:p w14:paraId="67778F3A" w14:textId="2077A0A1" w:rsidR="00E56BA6" w:rsidRPr="004B6D9F" w:rsidRDefault="00E56BA6" w:rsidP="00E56BA6">
      <w:pPr>
        <w:autoSpaceDE w:val="0"/>
        <w:autoSpaceDN w:val="0"/>
        <w:adjustRightInd w:val="0"/>
        <w:jc w:val="both"/>
        <w:rPr>
          <w:rFonts w:eastAsia="Calibri"/>
          <w:i/>
          <w:iCs/>
          <w:sz w:val="24"/>
          <w:szCs w:val="24"/>
        </w:rPr>
      </w:pPr>
      <w:r w:rsidRPr="004B6D9F">
        <w:rPr>
          <w:rFonts w:eastAsia="Calibri"/>
          <w:i/>
          <w:iCs/>
          <w:sz w:val="24"/>
          <w:szCs w:val="24"/>
        </w:rPr>
        <w:t xml:space="preserve">The Facility’s then-owner, Lehigh Hanson, Inc., applied for a permit in August 2017, and Air District staff have been evaluating the application since that time—initially with Lehigh Hanson, and more recently with Martin Marietta, which acquired the Facility in October of 2021. </w:t>
      </w:r>
    </w:p>
    <w:p w14:paraId="1709B46E" w14:textId="77777777" w:rsidR="00E56BA6" w:rsidRPr="004B6D9F" w:rsidRDefault="00E56BA6" w:rsidP="00E56BA6">
      <w:pPr>
        <w:autoSpaceDE w:val="0"/>
        <w:autoSpaceDN w:val="0"/>
        <w:adjustRightInd w:val="0"/>
        <w:jc w:val="both"/>
        <w:rPr>
          <w:rFonts w:eastAsia="Calibri"/>
          <w:i/>
          <w:iCs/>
          <w:sz w:val="24"/>
          <w:szCs w:val="24"/>
        </w:rPr>
      </w:pPr>
    </w:p>
    <w:p w14:paraId="561D0265" w14:textId="20F38777" w:rsidR="00E56BA6" w:rsidRPr="004B6D9F" w:rsidRDefault="00E56BA6" w:rsidP="00E56BA6">
      <w:pPr>
        <w:autoSpaceDE w:val="0"/>
        <w:autoSpaceDN w:val="0"/>
        <w:adjustRightInd w:val="0"/>
        <w:jc w:val="both"/>
        <w:rPr>
          <w:rFonts w:eastAsia="Calibri"/>
          <w:i/>
          <w:iCs/>
          <w:sz w:val="24"/>
          <w:szCs w:val="24"/>
        </w:rPr>
      </w:pPr>
      <w:r w:rsidRPr="004B6D9F">
        <w:rPr>
          <w:rFonts w:eastAsia="Calibri"/>
          <w:i/>
          <w:iCs/>
          <w:sz w:val="24"/>
          <w:szCs w:val="24"/>
        </w:rPr>
        <w:t xml:space="preserve">Most recently, in July 2023, Martin Marietta proposed reconstructing the Facility completely and replacing the existing operation with a new, state-of-the-art facility. Replacing the current Facility with an upgraded facility will provide better protections for the community, a laudable goal. </w:t>
      </w:r>
    </w:p>
    <w:p w14:paraId="581BA8E9" w14:textId="77777777" w:rsidR="005B7F4E" w:rsidRPr="004B6D9F" w:rsidRDefault="005B7F4E" w:rsidP="00E56BA6">
      <w:pPr>
        <w:autoSpaceDE w:val="0"/>
        <w:autoSpaceDN w:val="0"/>
        <w:adjustRightInd w:val="0"/>
        <w:jc w:val="both"/>
        <w:rPr>
          <w:rFonts w:eastAsia="Calibri"/>
          <w:sz w:val="24"/>
          <w:szCs w:val="24"/>
        </w:rPr>
      </w:pPr>
    </w:p>
    <w:p w14:paraId="438E7CDD" w14:textId="6D846E7C" w:rsidR="005B7F4E" w:rsidRPr="004B6D9F" w:rsidRDefault="005B7F4E" w:rsidP="00E56BA6">
      <w:pPr>
        <w:autoSpaceDE w:val="0"/>
        <w:autoSpaceDN w:val="0"/>
        <w:adjustRightInd w:val="0"/>
        <w:jc w:val="both"/>
        <w:rPr>
          <w:rFonts w:eastAsia="Calibri"/>
          <w:sz w:val="24"/>
          <w:szCs w:val="24"/>
        </w:rPr>
      </w:pPr>
      <w:r w:rsidRPr="004B6D9F">
        <w:rPr>
          <w:rFonts w:eastAsia="Calibri"/>
          <w:sz w:val="24"/>
          <w:szCs w:val="24"/>
        </w:rPr>
        <w:t>The APCO seeks a Conditional Order of Abatement and compliance with interim operating conditions.</w:t>
      </w:r>
    </w:p>
    <w:p w14:paraId="4DFA54C8" w14:textId="63966288" w:rsidR="00916319" w:rsidRPr="004B6D9F" w:rsidRDefault="00916319" w:rsidP="00725EE1">
      <w:pPr>
        <w:autoSpaceDE w:val="0"/>
        <w:autoSpaceDN w:val="0"/>
        <w:adjustRightInd w:val="0"/>
        <w:jc w:val="both"/>
        <w:rPr>
          <w:rFonts w:ascii="FranklinGothic-Book" w:eastAsia="Calibri" w:hAnsi="FranklinGothic-Book" w:cs="FranklinGothic-Book"/>
          <w:sz w:val="22"/>
          <w:szCs w:val="22"/>
        </w:rPr>
      </w:pPr>
    </w:p>
    <w:p w14:paraId="0B24EF68" w14:textId="1F386DD4" w:rsidR="00916319" w:rsidRPr="004B6D9F" w:rsidRDefault="00916319" w:rsidP="00916319">
      <w:pPr>
        <w:jc w:val="both"/>
        <w:rPr>
          <w:sz w:val="24"/>
          <w:szCs w:val="24"/>
        </w:rPr>
      </w:pPr>
      <w:r w:rsidRPr="004B6D9F">
        <w:rPr>
          <w:b/>
          <w:bCs/>
          <w:sz w:val="24"/>
          <w:szCs w:val="24"/>
        </w:rPr>
        <w:t>Fees collected this quarter:</w:t>
      </w:r>
      <w:r w:rsidRPr="004B6D9F">
        <w:rPr>
          <w:sz w:val="24"/>
          <w:szCs w:val="24"/>
        </w:rPr>
        <w:t xml:space="preserve"> N/A</w:t>
      </w:r>
    </w:p>
    <w:p w14:paraId="6C893743" w14:textId="77777777" w:rsidR="00757D6F" w:rsidRPr="004B6D9F" w:rsidRDefault="00757D6F" w:rsidP="00916319">
      <w:pPr>
        <w:jc w:val="both"/>
        <w:rPr>
          <w:b/>
          <w:bCs/>
          <w:color w:val="FF0000"/>
          <w:sz w:val="24"/>
          <w:szCs w:val="24"/>
        </w:rPr>
      </w:pPr>
    </w:p>
    <w:p w14:paraId="2455E78D" w14:textId="568CA384" w:rsidR="001F3240" w:rsidRPr="004B6D9F" w:rsidRDefault="00916319" w:rsidP="003B7564">
      <w:pPr>
        <w:pStyle w:val="Default"/>
        <w:spacing w:line="240" w:lineRule="auto"/>
        <w:jc w:val="both"/>
        <w:rPr>
          <w:rFonts w:ascii="Times New Roman" w:hAnsi="Times New Roman" w:cs="Times New Roman"/>
          <w:sz w:val="24"/>
          <w:szCs w:val="24"/>
        </w:rPr>
      </w:pPr>
      <w:r w:rsidRPr="004B6D9F">
        <w:rPr>
          <w:rFonts w:ascii="Times New Roman" w:hAnsi="Times New Roman" w:cs="Times New Roman"/>
          <w:b/>
          <w:bCs/>
          <w:sz w:val="24"/>
          <w:szCs w:val="24"/>
        </w:rPr>
        <w:lastRenderedPageBreak/>
        <w:t>Status:</w:t>
      </w:r>
      <w:r w:rsidR="00E56BA6" w:rsidRPr="004B6D9F">
        <w:rPr>
          <w:rFonts w:ascii="Times New Roman" w:hAnsi="Times New Roman" w:cs="Times New Roman"/>
          <w:b/>
          <w:bCs/>
          <w:sz w:val="24"/>
          <w:szCs w:val="24"/>
        </w:rPr>
        <w:t xml:space="preserve"> </w:t>
      </w:r>
      <w:r w:rsidR="00E56BA6" w:rsidRPr="004B6D9F">
        <w:rPr>
          <w:rFonts w:ascii="Times New Roman" w:hAnsi="Times New Roman" w:cs="Times New Roman"/>
          <w:sz w:val="24"/>
          <w:szCs w:val="24"/>
        </w:rPr>
        <w:t>Accusation filed by Complainant on October 3, 2023; Accusation Certificate of Service filed by Complainant on October 4 and 5, 2023;</w:t>
      </w:r>
      <w:r w:rsidR="000141FB" w:rsidRPr="004B6D9F">
        <w:rPr>
          <w:rFonts w:ascii="Times New Roman" w:hAnsi="Times New Roman" w:cs="Times New Roman"/>
          <w:sz w:val="24"/>
          <w:szCs w:val="24"/>
        </w:rPr>
        <w:t xml:space="preserve"> on October 4, 2023, </w:t>
      </w:r>
      <w:r w:rsidR="00D639B6" w:rsidRPr="004B6D9F">
        <w:rPr>
          <w:rFonts w:ascii="Times New Roman" w:hAnsi="Times New Roman" w:cs="Times New Roman"/>
          <w:sz w:val="24"/>
          <w:szCs w:val="24"/>
        </w:rPr>
        <w:t>Complainant requested pre-hearing conference with both parties and Hearing Board Chair</w:t>
      </w:r>
      <w:r w:rsidR="000141FB" w:rsidRPr="004B6D9F">
        <w:rPr>
          <w:rFonts w:ascii="Times New Roman" w:hAnsi="Times New Roman" w:cs="Times New Roman"/>
          <w:sz w:val="24"/>
          <w:szCs w:val="24"/>
        </w:rPr>
        <w:t>; first pre-hearing conference held on October 17, 202</w:t>
      </w:r>
      <w:r w:rsidR="003B7564" w:rsidRPr="004B6D9F">
        <w:rPr>
          <w:rFonts w:ascii="Times New Roman" w:hAnsi="Times New Roman" w:cs="Times New Roman"/>
          <w:sz w:val="24"/>
          <w:szCs w:val="24"/>
        </w:rPr>
        <w:t>3</w:t>
      </w:r>
      <w:r w:rsidR="00D639B6" w:rsidRPr="004B6D9F">
        <w:rPr>
          <w:rFonts w:ascii="Times New Roman" w:hAnsi="Times New Roman" w:cs="Times New Roman"/>
          <w:sz w:val="24"/>
          <w:szCs w:val="24"/>
        </w:rPr>
        <w:t>;</w:t>
      </w:r>
      <w:r w:rsidR="000141FB" w:rsidRPr="004B6D9F">
        <w:rPr>
          <w:rFonts w:ascii="Times New Roman" w:hAnsi="Times New Roman" w:cs="Times New Roman"/>
          <w:sz w:val="24"/>
          <w:szCs w:val="24"/>
        </w:rPr>
        <w:t xml:space="preserve"> on October 16, 202</w:t>
      </w:r>
      <w:r w:rsidR="003B7564" w:rsidRPr="004B6D9F">
        <w:rPr>
          <w:rFonts w:ascii="Times New Roman" w:hAnsi="Times New Roman" w:cs="Times New Roman"/>
          <w:sz w:val="24"/>
          <w:szCs w:val="24"/>
        </w:rPr>
        <w:t>3</w:t>
      </w:r>
      <w:r w:rsidR="000141FB" w:rsidRPr="004B6D9F">
        <w:rPr>
          <w:rFonts w:ascii="Times New Roman" w:hAnsi="Times New Roman" w:cs="Times New Roman"/>
          <w:sz w:val="24"/>
          <w:szCs w:val="24"/>
        </w:rPr>
        <w:t>, Respondent requested that the Hearing Board grant Respondent an additional 90 days (but no later than 20 working days before any scheduled hearing) to file its Notice of Defense (this was granted</w:t>
      </w:r>
      <w:r w:rsidR="002306A6" w:rsidRPr="004B6D9F">
        <w:rPr>
          <w:rFonts w:ascii="Times New Roman" w:hAnsi="Times New Roman" w:cs="Times New Roman"/>
          <w:sz w:val="24"/>
          <w:szCs w:val="24"/>
        </w:rPr>
        <w:t>, with the new due date being March 18, 2024</w:t>
      </w:r>
      <w:r w:rsidR="000141FB" w:rsidRPr="004B6D9F">
        <w:rPr>
          <w:rFonts w:ascii="Times New Roman" w:hAnsi="Times New Roman" w:cs="Times New Roman"/>
          <w:sz w:val="24"/>
          <w:szCs w:val="24"/>
        </w:rPr>
        <w:t>); second pre-hearing conference held on November 28, 2023; on February 8, 2024, parties filed joint status update and request for hearing date; Notice of Hearing (</w:t>
      </w:r>
      <w:r w:rsidR="0062124D" w:rsidRPr="004B6D9F">
        <w:rPr>
          <w:rFonts w:ascii="Times New Roman" w:hAnsi="Times New Roman" w:cs="Times New Roman"/>
          <w:sz w:val="24"/>
          <w:szCs w:val="24"/>
        </w:rPr>
        <w:t xml:space="preserve">scheduled for </w:t>
      </w:r>
      <w:r w:rsidR="000141FB" w:rsidRPr="004B6D9F">
        <w:rPr>
          <w:rFonts w:ascii="Times New Roman" w:hAnsi="Times New Roman" w:cs="Times New Roman"/>
          <w:sz w:val="24"/>
          <w:szCs w:val="24"/>
        </w:rPr>
        <w:t>April 16, 2024) filed and issued on February 15, 2024</w:t>
      </w:r>
      <w:r w:rsidR="00560565" w:rsidRPr="004B6D9F">
        <w:rPr>
          <w:rFonts w:ascii="Times New Roman" w:hAnsi="Times New Roman" w:cs="Times New Roman"/>
          <w:sz w:val="24"/>
          <w:szCs w:val="24"/>
        </w:rPr>
        <w:t xml:space="preserve">; </w:t>
      </w:r>
      <w:r w:rsidR="0013746B" w:rsidRPr="004B6D9F">
        <w:rPr>
          <w:rFonts w:ascii="Times New Roman" w:hAnsi="Times New Roman" w:cs="Times New Roman"/>
          <w:sz w:val="24"/>
          <w:szCs w:val="24"/>
        </w:rPr>
        <w:t xml:space="preserve">joint status update sent to the Hearing Board on March 5, 2024; </w:t>
      </w:r>
      <w:r w:rsidR="002306A6" w:rsidRPr="004B6D9F">
        <w:rPr>
          <w:rFonts w:ascii="Times New Roman" w:hAnsi="Times New Roman" w:cs="Times New Roman"/>
          <w:sz w:val="24"/>
          <w:szCs w:val="24"/>
        </w:rPr>
        <w:t>on March 15, 2024, Respondent requested that the Hearing Board grant Respondent an additional extension to file Notice of Defense (this was granted, with the new due date being March 25, 2024); on March 18, parties filed joint status update; on March 21, 2024, Respondent requested that the Hearing Board grant Respondent an additional extension to file Notice of Defense</w:t>
      </w:r>
      <w:r w:rsidR="002D26A8" w:rsidRPr="004B6D9F">
        <w:rPr>
          <w:rFonts w:ascii="Times New Roman" w:hAnsi="Times New Roman" w:cs="Times New Roman"/>
          <w:sz w:val="24"/>
          <w:szCs w:val="24"/>
        </w:rPr>
        <w:t xml:space="preserve"> (this was granted</w:t>
      </w:r>
      <w:r w:rsidR="002306A6" w:rsidRPr="004B6D9F">
        <w:rPr>
          <w:rFonts w:ascii="Times New Roman" w:hAnsi="Times New Roman" w:cs="Times New Roman"/>
          <w:sz w:val="24"/>
          <w:szCs w:val="24"/>
        </w:rPr>
        <w:t>, with the new due date being March 29, 2024</w:t>
      </w:r>
      <w:r w:rsidR="002D26A8" w:rsidRPr="004B6D9F">
        <w:rPr>
          <w:rFonts w:ascii="Times New Roman" w:hAnsi="Times New Roman" w:cs="Times New Roman"/>
          <w:sz w:val="24"/>
          <w:szCs w:val="24"/>
        </w:rPr>
        <w:t>);</w:t>
      </w:r>
      <w:r w:rsidR="002306A6" w:rsidRPr="004B6D9F">
        <w:rPr>
          <w:rFonts w:ascii="Times New Roman" w:hAnsi="Times New Roman" w:cs="Times New Roman"/>
          <w:sz w:val="24"/>
          <w:szCs w:val="24"/>
        </w:rPr>
        <w:t xml:space="preserve"> on March 27, parties filed joint status update;</w:t>
      </w:r>
      <w:r w:rsidR="003B7564" w:rsidRPr="004B6D9F">
        <w:rPr>
          <w:rFonts w:ascii="Times New Roman" w:hAnsi="Times New Roman" w:cs="Times New Roman"/>
          <w:sz w:val="24"/>
          <w:szCs w:val="24"/>
        </w:rPr>
        <w:t xml:space="preserve"> on March 27, 2024, Respondent deferred </w:t>
      </w:r>
      <w:r w:rsidR="002D26A8" w:rsidRPr="004B6D9F">
        <w:rPr>
          <w:rFonts w:ascii="Times New Roman" w:hAnsi="Times New Roman" w:cs="Times New Roman"/>
          <w:sz w:val="24"/>
          <w:szCs w:val="24"/>
        </w:rPr>
        <w:t>filing a Notice of Defense in this matter</w:t>
      </w:r>
      <w:r w:rsidR="003B7564" w:rsidRPr="004B6D9F">
        <w:rPr>
          <w:rFonts w:ascii="Times New Roman" w:hAnsi="Times New Roman" w:cs="Times New Roman"/>
          <w:sz w:val="24"/>
          <w:szCs w:val="24"/>
        </w:rPr>
        <w:t xml:space="preserve">; on April 2, 2024, parties filed Joint Stipulation to Entry of Proposed Conditional Order for Abatement; third pre-hearing conference held on April 3, 2024; abatement hearing held on April 16, 2024; </w:t>
      </w:r>
      <w:r w:rsidR="00BD0868" w:rsidRPr="004B6D9F">
        <w:rPr>
          <w:rFonts w:ascii="Times New Roman" w:hAnsi="Times New Roman" w:cs="Times New Roman"/>
          <w:sz w:val="24"/>
          <w:szCs w:val="24"/>
        </w:rPr>
        <w:t xml:space="preserve">Conditional Order for Abatement </w:t>
      </w:r>
      <w:r w:rsidR="00DD4F89" w:rsidRPr="004B6D9F">
        <w:rPr>
          <w:rFonts w:ascii="Times New Roman" w:hAnsi="Times New Roman" w:cs="Times New Roman"/>
          <w:sz w:val="24"/>
          <w:szCs w:val="24"/>
        </w:rPr>
        <w:t>issued</w:t>
      </w:r>
      <w:r w:rsidR="00BD0868" w:rsidRPr="004B6D9F">
        <w:rPr>
          <w:rFonts w:ascii="Times New Roman" w:hAnsi="Times New Roman" w:cs="Times New Roman"/>
          <w:sz w:val="24"/>
          <w:szCs w:val="24"/>
        </w:rPr>
        <w:t xml:space="preserve"> on </w:t>
      </w:r>
      <w:r w:rsidR="00DD4F89" w:rsidRPr="004B6D9F">
        <w:rPr>
          <w:rFonts w:ascii="Times New Roman" w:hAnsi="Times New Roman" w:cs="Times New Roman"/>
          <w:sz w:val="24"/>
          <w:szCs w:val="24"/>
        </w:rPr>
        <w:t>April 26, 2024.</w:t>
      </w:r>
    </w:p>
    <w:p w14:paraId="478153B5" w14:textId="77777777" w:rsidR="008E206B" w:rsidRPr="004B6D9F" w:rsidRDefault="008E206B" w:rsidP="008E206B">
      <w:pPr>
        <w:pBdr>
          <w:bottom w:val="single" w:sz="6" w:space="1" w:color="auto"/>
        </w:pBdr>
        <w:jc w:val="both"/>
        <w:rPr>
          <w:color w:val="FF0000"/>
          <w:sz w:val="24"/>
          <w:szCs w:val="24"/>
        </w:rPr>
      </w:pPr>
    </w:p>
    <w:p w14:paraId="477514AE" w14:textId="77777777" w:rsidR="008E206B" w:rsidRPr="004B6D9F" w:rsidRDefault="008E206B" w:rsidP="008E206B">
      <w:pPr>
        <w:jc w:val="both"/>
        <w:rPr>
          <w:color w:val="FF0000"/>
          <w:sz w:val="24"/>
          <w:szCs w:val="24"/>
        </w:rPr>
      </w:pPr>
    </w:p>
    <w:p w14:paraId="2EC902D6" w14:textId="700355DF" w:rsidR="00CB30C1" w:rsidRPr="004B6D9F" w:rsidRDefault="008D55AC" w:rsidP="008D55AC">
      <w:pPr>
        <w:jc w:val="both"/>
        <w:rPr>
          <w:b/>
          <w:bCs/>
          <w:sz w:val="24"/>
          <w:szCs w:val="24"/>
        </w:rPr>
      </w:pPr>
      <w:r w:rsidRPr="004B6D9F">
        <w:rPr>
          <w:b/>
          <w:bCs/>
          <w:sz w:val="24"/>
          <w:szCs w:val="24"/>
          <w:u w:val="single"/>
        </w:rPr>
        <w:t>Docket</w:t>
      </w:r>
      <w:r w:rsidR="00CB30C1" w:rsidRPr="004B6D9F">
        <w:rPr>
          <w:b/>
          <w:bCs/>
          <w:sz w:val="24"/>
          <w:szCs w:val="24"/>
          <w:u w:val="single"/>
        </w:rPr>
        <w:t>s</w:t>
      </w:r>
      <w:r w:rsidRPr="004B6D9F">
        <w:rPr>
          <w:b/>
          <w:bCs/>
          <w:sz w:val="24"/>
          <w:szCs w:val="24"/>
          <w:u w:val="single"/>
        </w:rPr>
        <w:t xml:space="preserve">: </w:t>
      </w:r>
      <w:r w:rsidR="00CB30C1" w:rsidRPr="004B6D9F">
        <w:rPr>
          <w:b/>
          <w:bCs/>
          <w:sz w:val="24"/>
          <w:szCs w:val="24"/>
          <w:u w:val="single"/>
        </w:rPr>
        <w:t xml:space="preserve">3741 (Berkeley Landfill – Request for Regular Variance) &amp; </w:t>
      </w:r>
      <w:r w:rsidRPr="004B6D9F">
        <w:rPr>
          <w:b/>
          <w:bCs/>
          <w:sz w:val="24"/>
          <w:szCs w:val="24"/>
          <w:u w:val="single"/>
        </w:rPr>
        <w:t xml:space="preserve">3747 – </w:t>
      </w:r>
      <w:r w:rsidR="0062124D" w:rsidRPr="004B6D9F">
        <w:rPr>
          <w:b/>
          <w:bCs/>
          <w:sz w:val="24"/>
          <w:szCs w:val="24"/>
          <w:u w:val="single"/>
        </w:rPr>
        <w:t>APCO vs. Berkeley Landfill – Accusation of Violation of Regulation 8-34-301.1 and Request for Order of Abatement</w:t>
      </w:r>
      <w:r w:rsidR="0062124D" w:rsidRPr="004B6D9F">
        <w:rPr>
          <w:b/>
          <w:bCs/>
          <w:sz w:val="24"/>
          <w:szCs w:val="24"/>
        </w:rPr>
        <w:t xml:space="preserve"> </w:t>
      </w:r>
    </w:p>
    <w:p w14:paraId="4119E20D" w14:textId="77777777" w:rsidR="00CB30C1" w:rsidRPr="004B6D9F" w:rsidRDefault="00CB30C1" w:rsidP="008D55AC">
      <w:pPr>
        <w:jc w:val="both"/>
        <w:rPr>
          <w:b/>
          <w:bCs/>
          <w:sz w:val="24"/>
          <w:szCs w:val="24"/>
        </w:rPr>
      </w:pPr>
    </w:p>
    <w:p w14:paraId="74C4FADE" w14:textId="6D37FE50" w:rsidR="008D55AC" w:rsidRPr="004B6D9F" w:rsidRDefault="00CB30C1" w:rsidP="008D55AC">
      <w:pPr>
        <w:jc w:val="both"/>
        <w:rPr>
          <w:sz w:val="24"/>
          <w:szCs w:val="24"/>
        </w:rPr>
      </w:pPr>
      <w:r w:rsidRPr="004B6D9F">
        <w:rPr>
          <w:b/>
          <w:bCs/>
          <w:sz w:val="24"/>
          <w:szCs w:val="24"/>
        </w:rPr>
        <w:t>NOTE:</w:t>
      </w:r>
      <w:r w:rsidRPr="004B6D9F">
        <w:rPr>
          <w:sz w:val="24"/>
          <w:szCs w:val="24"/>
        </w:rPr>
        <w:t xml:space="preserve"> Docket 3741 </w:t>
      </w:r>
      <w:r w:rsidR="00543DF5" w:rsidRPr="004B6D9F">
        <w:rPr>
          <w:sz w:val="24"/>
          <w:szCs w:val="24"/>
        </w:rPr>
        <w:t xml:space="preserve">(application for Regular Variance) </w:t>
      </w:r>
      <w:r w:rsidRPr="004B6D9F">
        <w:rPr>
          <w:sz w:val="24"/>
          <w:szCs w:val="24"/>
        </w:rPr>
        <w:t>was filed by the Applicant on May 30, 2023, and a</w:t>
      </w:r>
      <w:r w:rsidR="00543DF5" w:rsidRPr="004B6D9F">
        <w:rPr>
          <w:sz w:val="24"/>
          <w:szCs w:val="24"/>
        </w:rPr>
        <w:t xml:space="preserve"> </w:t>
      </w:r>
      <w:r w:rsidRPr="004B6D9F">
        <w:rPr>
          <w:sz w:val="24"/>
          <w:szCs w:val="24"/>
        </w:rPr>
        <w:t>hearing date was postponed multiple times</w:t>
      </w:r>
      <w:r w:rsidR="00543DF5" w:rsidRPr="004B6D9F">
        <w:rPr>
          <w:sz w:val="24"/>
          <w:szCs w:val="24"/>
        </w:rPr>
        <w:t xml:space="preserve">. The hearing </w:t>
      </w:r>
      <w:r w:rsidRPr="004B6D9F">
        <w:rPr>
          <w:sz w:val="24"/>
          <w:szCs w:val="24"/>
        </w:rPr>
        <w:t xml:space="preserve">still </w:t>
      </w:r>
      <w:r w:rsidR="00543DF5" w:rsidRPr="004B6D9F">
        <w:rPr>
          <w:sz w:val="24"/>
          <w:szCs w:val="24"/>
        </w:rPr>
        <w:t xml:space="preserve">had </w:t>
      </w:r>
      <w:r w:rsidRPr="004B6D9F">
        <w:rPr>
          <w:sz w:val="24"/>
          <w:szCs w:val="24"/>
        </w:rPr>
        <w:t>not occurred by December 31, 2023.</w:t>
      </w:r>
      <w:r w:rsidR="00543DF5" w:rsidRPr="004B6D9F">
        <w:rPr>
          <w:sz w:val="24"/>
          <w:szCs w:val="24"/>
        </w:rPr>
        <w:t xml:space="preserve"> </w:t>
      </w:r>
      <w:r w:rsidRPr="004B6D9F">
        <w:rPr>
          <w:sz w:val="24"/>
          <w:szCs w:val="24"/>
        </w:rPr>
        <w:t xml:space="preserve">168 days </w:t>
      </w:r>
      <w:r w:rsidR="00543DF5" w:rsidRPr="004B6D9F">
        <w:rPr>
          <w:sz w:val="24"/>
          <w:szCs w:val="24"/>
        </w:rPr>
        <w:t>after the filing of the Applicant’s variance application, the Air District filed</w:t>
      </w:r>
      <w:r w:rsidRPr="004B6D9F">
        <w:rPr>
          <w:sz w:val="24"/>
          <w:szCs w:val="24"/>
        </w:rPr>
        <w:t xml:space="preserve"> Docket 3747</w:t>
      </w:r>
      <w:r w:rsidR="00543DF5" w:rsidRPr="004B6D9F">
        <w:rPr>
          <w:sz w:val="24"/>
          <w:szCs w:val="24"/>
        </w:rPr>
        <w:t xml:space="preserve"> (accusation and request for </w:t>
      </w:r>
      <w:r w:rsidR="005B7F4E" w:rsidRPr="004B6D9F">
        <w:rPr>
          <w:sz w:val="24"/>
          <w:szCs w:val="24"/>
        </w:rPr>
        <w:t>O</w:t>
      </w:r>
      <w:r w:rsidR="00543DF5" w:rsidRPr="004B6D9F">
        <w:rPr>
          <w:sz w:val="24"/>
          <w:szCs w:val="24"/>
        </w:rPr>
        <w:t xml:space="preserve">rder of </w:t>
      </w:r>
      <w:r w:rsidR="005B7F4E" w:rsidRPr="004B6D9F">
        <w:rPr>
          <w:sz w:val="24"/>
          <w:szCs w:val="24"/>
        </w:rPr>
        <w:t>A</w:t>
      </w:r>
      <w:r w:rsidR="00543DF5" w:rsidRPr="004B6D9F">
        <w:rPr>
          <w:sz w:val="24"/>
          <w:szCs w:val="24"/>
        </w:rPr>
        <w:t>batement)</w:t>
      </w:r>
      <w:r w:rsidRPr="004B6D9F">
        <w:rPr>
          <w:sz w:val="24"/>
          <w:szCs w:val="24"/>
        </w:rPr>
        <w:t xml:space="preserve">, </w:t>
      </w:r>
      <w:r w:rsidR="00543DF5" w:rsidRPr="004B6D9F">
        <w:rPr>
          <w:sz w:val="24"/>
          <w:szCs w:val="24"/>
        </w:rPr>
        <w:t xml:space="preserve">on November 14, 2023, </w:t>
      </w:r>
      <w:r w:rsidRPr="004B6D9F">
        <w:rPr>
          <w:sz w:val="24"/>
          <w:szCs w:val="24"/>
        </w:rPr>
        <w:t>pertaining to the same operations and equipment</w:t>
      </w:r>
      <w:r w:rsidR="00543DF5" w:rsidRPr="004B6D9F">
        <w:rPr>
          <w:sz w:val="24"/>
          <w:szCs w:val="24"/>
        </w:rPr>
        <w:t xml:space="preserve"> as Docket 3741</w:t>
      </w:r>
      <w:r w:rsidRPr="004B6D9F">
        <w:rPr>
          <w:sz w:val="24"/>
          <w:szCs w:val="24"/>
        </w:rPr>
        <w:t>.</w:t>
      </w:r>
      <w:r w:rsidR="00543DF5" w:rsidRPr="004B6D9F">
        <w:rPr>
          <w:sz w:val="24"/>
          <w:szCs w:val="24"/>
        </w:rPr>
        <w:t xml:space="preserve"> </w:t>
      </w:r>
      <w:r w:rsidR="005B7F4E" w:rsidRPr="004B6D9F">
        <w:rPr>
          <w:sz w:val="24"/>
          <w:szCs w:val="24"/>
        </w:rPr>
        <w:t xml:space="preserve">The APCO requested </w:t>
      </w:r>
      <w:r w:rsidR="00543DF5" w:rsidRPr="004B6D9F">
        <w:rPr>
          <w:sz w:val="24"/>
          <w:szCs w:val="24"/>
        </w:rPr>
        <w:t xml:space="preserve"> that both dockets be heard </w:t>
      </w:r>
      <w:r w:rsidR="009D4F7D" w:rsidRPr="004B6D9F">
        <w:rPr>
          <w:sz w:val="24"/>
          <w:szCs w:val="24"/>
        </w:rPr>
        <w:t>together and the Hearing Board Chair agreed to do so.</w:t>
      </w:r>
      <w:r w:rsidR="00543DF5" w:rsidRPr="004B6D9F">
        <w:rPr>
          <w:sz w:val="24"/>
          <w:szCs w:val="24"/>
        </w:rPr>
        <w:t xml:space="preserve"> (</w:t>
      </w:r>
      <w:r w:rsidR="009D4F7D" w:rsidRPr="004B6D9F">
        <w:rPr>
          <w:sz w:val="24"/>
          <w:szCs w:val="24"/>
        </w:rPr>
        <w:t xml:space="preserve">Hearing held on </w:t>
      </w:r>
      <w:r w:rsidR="00543DF5" w:rsidRPr="004B6D9F">
        <w:rPr>
          <w:sz w:val="24"/>
          <w:szCs w:val="24"/>
        </w:rPr>
        <w:t>January 23 and then February 6, 2024.)</w:t>
      </w:r>
      <w:r w:rsidRPr="004B6D9F">
        <w:rPr>
          <w:b/>
          <w:bCs/>
          <w:sz w:val="24"/>
          <w:szCs w:val="24"/>
        </w:rPr>
        <w:t xml:space="preserve"> </w:t>
      </w:r>
    </w:p>
    <w:p w14:paraId="43D9077E" w14:textId="77777777" w:rsidR="008D55AC" w:rsidRPr="004B6D9F" w:rsidRDefault="008D55AC" w:rsidP="008D55AC">
      <w:pPr>
        <w:jc w:val="both"/>
        <w:rPr>
          <w:b/>
          <w:bCs/>
          <w:sz w:val="24"/>
          <w:szCs w:val="24"/>
        </w:rPr>
      </w:pPr>
    </w:p>
    <w:p w14:paraId="78013587" w14:textId="6842E3B8" w:rsidR="008D55AC" w:rsidRPr="004B6D9F" w:rsidRDefault="008D55AC" w:rsidP="008D55AC">
      <w:pPr>
        <w:jc w:val="both"/>
        <w:rPr>
          <w:sz w:val="24"/>
          <w:szCs w:val="24"/>
        </w:rPr>
      </w:pPr>
      <w:r w:rsidRPr="004B6D9F">
        <w:rPr>
          <w:b/>
          <w:bCs/>
          <w:sz w:val="24"/>
          <w:szCs w:val="24"/>
        </w:rPr>
        <w:t>Location:</w:t>
      </w:r>
      <w:r w:rsidRPr="004B6D9F">
        <w:rPr>
          <w:sz w:val="24"/>
          <w:szCs w:val="24"/>
        </w:rPr>
        <w:t xml:space="preserve"> </w:t>
      </w:r>
      <w:r w:rsidR="00543DF5" w:rsidRPr="004B6D9F">
        <w:rPr>
          <w:sz w:val="24"/>
          <w:szCs w:val="24"/>
        </w:rPr>
        <w:t xml:space="preserve">Alameda </w:t>
      </w:r>
      <w:r w:rsidRPr="004B6D9F">
        <w:rPr>
          <w:sz w:val="24"/>
          <w:szCs w:val="24"/>
        </w:rPr>
        <w:t xml:space="preserve">County; City of </w:t>
      </w:r>
      <w:r w:rsidR="00543DF5" w:rsidRPr="004B6D9F">
        <w:rPr>
          <w:sz w:val="24"/>
          <w:szCs w:val="24"/>
        </w:rPr>
        <w:t>Berkeley</w:t>
      </w:r>
    </w:p>
    <w:p w14:paraId="616F6431" w14:textId="77777777" w:rsidR="008D55AC" w:rsidRPr="004B6D9F" w:rsidRDefault="008D55AC" w:rsidP="008D55AC">
      <w:pPr>
        <w:jc w:val="both"/>
        <w:rPr>
          <w:sz w:val="24"/>
          <w:szCs w:val="24"/>
        </w:rPr>
      </w:pPr>
    </w:p>
    <w:p w14:paraId="4CD3962D" w14:textId="3AC14D43" w:rsidR="008D55AC" w:rsidRPr="004B6D9F" w:rsidRDefault="008D55AC" w:rsidP="008D55AC">
      <w:pPr>
        <w:jc w:val="both"/>
        <w:rPr>
          <w:sz w:val="24"/>
          <w:szCs w:val="24"/>
        </w:rPr>
      </w:pPr>
      <w:r w:rsidRPr="004B6D9F">
        <w:rPr>
          <w:b/>
          <w:bCs/>
          <w:sz w:val="24"/>
          <w:szCs w:val="24"/>
        </w:rPr>
        <w:t>Regulation(s):</w:t>
      </w:r>
      <w:r w:rsidRPr="004B6D9F">
        <w:rPr>
          <w:sz w:val="24"/>
          <w:szCs w:val="24"/>
        </w:rPr>
        <w:t xml:space="preserve"> </w:t>
      </w:r>
      <w:r w:rsidR="00543DF5" w:rsidRPr="004B6D9F">
        <w:rPr>
          <w:sz w:val="24"/>
          <w:szCs w:val="24"/>
        </w:rPr>
        <w:t>Regulation 8, Rule 34, Section 301.1 &amp; 113.2 (Organic Compounds, Solid Waste Disposal Sites, Landfill Gas Collection and Emission Control System Requirements)</w:t>
      </w:r>
    </w:p>
    <w:p w14:paraId="7B7C93ED" w14:textId="77777777" w:rsidR="00543DF5" w:rsidRPr="004B6D9F" w:rsidRDefault="00543DF5" w:rsidP="008D55AC">
      <w:pPr>
        <w:jc w:val="both"/>
        <w:rPr>
          <w:sz w:val="24"/>
          <w:szCs w:val="24"/>
        </w:rPr>
      </w:pPr>
    </w:p>
    <w:p w14:paraId="6C352386" w14:textId="5EF7232B" w:rsidR="008D55AC" w:rsidRPr="004B6D9F" w:rsidRDefault="008D55AC" w:rsidP="00543DF5">
      <w:pPr>
        <w:pStyle w:val="Default"/>
        <w:spacing w:line="240" w:lineRule="auto"/>
        <w:jc w:val="both"/>
        <w:rPr>
          <w:rFonts w:ascii="Times New Roman" w:hAnsi="Times New Roman" w:cs="Times New Roman"/>
          <w:sz w:val="24"/>
          <w:szCs w:val="24"/>
        </w:rPr>
      </w:pPr>
      <w:r w:rsidRPr="004B6D9F">
        <w:rPr>
          <w:rFonts w:ascii="Times New Roman" w:hAnsi="Times New Roman" w:cs="Times New Roman"/>
          <w:b/>
          <w:bCs/>
          <w:sz w:val="24"/>
          <w:szCs w:val="24"/>
        </w:rPr>
        <w:t>Synopsis:</w:t>
      </w:r>
      <w:r w:rsidRPr="004B6D9F">
        <w:rPr>
          <w:rFonts w:ascii="Times New Roman" w:hAnsi="Times New Roman" w:cs="Times New Roman"/>
          <w:sz w:val="24"/>
          <w:szCs w:val="24"/>
        </w:rPr>
        <w:t xml:space="preserve"> </w:t>
      </w:r>
      <w:r w:rsidR="00543DF5" w:rsidRPr="004B6D9F">
        <w:rPr>
          <w:rFonts w:ascii="Times New Roman" w:hAnsi="Times New Roman" w:cs="Times New Roman"/>
          <w:sz w:val="24"/>
          <w:szCs w:val="24"/>
        </w:rPr>
        <w:t xml:space="preserve">The Berkeley Landfill, which has been closed since 1983, is currently developed as a City park known as Cesar Chavez Park, and is undergoing post-closure monitoring and maintenance through various programs administered by </w:t>
      </w:r>
      <w:proofErr w:type="spellStart"/>
      <w:r w:rsidR="00543DF5" w:rsidRPr="004B6D9F">
        <w:rPr>
          <w:rFonts w:ascii="Times New Roman" w:hAnsi="Times New Roman" w:cs="Times New Roman"/>
          <w:sz w:val="24"/>
          <w:szCs w:val="24"/>
        </w:rPr>
        <w:t>CalRecycle</w:t>
      </w:r>
      <w:proofErr w:type="spellEnd"/>
      <w:r w:rsidR="00543DF5" w:rsidRPr="004B6D9F">
        <w:rPr>
          <w:rFonts w:ascii="Times New Roman" w:hAnsi="Times New Roman" w:cs="Times New Roman"/>
          <w:sz w:val="24"/>
          <w:szCs w:val="24"/>
        </w:rPr>
        <w:t>, San Francisco Bay Regional Water Quality Control Board, and the Air District. The City of Berkeley (Applicant) owns and operates Berkeley Landfill.</w:t>
      </w:r>
    </w:p>
    <w:p w14:paraId="5B7C8B36" w14:textId="77777777" w:rsidR="00D33381" w:rsidRPr="004B6D9F" w:rsidRDefault="00D33381" w:rsidP="00017DF6">
      <w:pPr>
        <w:autoSpaceDE w:val="0"/>
        <w:autoSpaceDN w:val="0"/>
        <w:adjustRightInd w:val="0"/>
        <w:jc w:val="both"/>
        <w:rPr>
          <w:rFonts w:eastAsia="Calibri"/>
          <w:sz w:val="24"/>
          <w:szCs w:val="24"/>
        </w:rPr>
      </w:pPr>
    </w:p>
    <w:p w14:paraId="70656AF8" w14:textId="5D929575" w:rsidR="00017DF6" w:rsidRPr="004B6D9F" w:rsidRDefault="00017DF6" w:rsidP="00017DF6">
      <w:pPr>
        <w:autoSpaceDE w:val="0"/>
        <w:autoSpaceDN w:val="0"/>
        <w:adjustRightInd w:val="0"/>
        <w:jc w:val="both"/>
        <w:rPr>
          <w:rFonts w:eastAsia="Calibri"/>
          <w:sz w:val="24"/>
          <w:szCs w:val="24"/>
        </w:rPr>
      </w:pPr>
      <w:r w:rsidRPr="004B6D9F">
        <w:rPr>
          <w:rFonts w:eastAsia="Calibri"/>
          <w:sz w:val="24"/>
          <w:szCs w:val="24"/>
        </w:rPr>
        <w:t>From Berkeley Landfill’s Variance Application (Docket 3741):</w:t>
      </w:r>
    </w:p>
    <w:p w14:paraId="7DC5B0A3" w14:textId="77777777" w:rsidR="00017DF6" w:rsidRPr="004B6D9F" w:rsidRDefault="00017DF6" w:rsidP="00017DF6">
      <w:pPr>
        <w:autoSpaceDE w:val="0"/>
        <w:autoSpaceDN w:val="0"/>
        <w:adjustRightInd w:val="0"/>
        <w:jc w:val="both"/>
        <w:rPr>
          <w:rFonts w:eastAsia="Calibri"/>
          <w:i/>
          <w:iCs/>
          <w:sz w:val="24"/>
          <w:szCs w:val="24"/>
        </w:rPr>
      </w:pPr>
    </w:p>
    <w:p w14:paraId="241669DB" w14:textId="77777777" w:rsidR="00017DF6" w:rsidRPr="004B6D9F" w:rsidRDefault="00017DF6" w:rsidP="00017DF6">
      <w:pPr>
        <w:autoSpaceDE w:val="0"/>
        <w:autoSpaceDN w:val="0"/>
        <w:adjustRightInd w:val="0"/>
        <w:jc w:val="both"/>
        <w:rPr>
          <w:rFonts w:eastAsia="Calibri"/>
          <w:i/>
          <w:iCs/>
          <w:sz w:val="24"/>
          <w:szCs w:val="24"/>
        </w:rPr>
      </w:pPr>
      <w:r w:rsidRPr="004B6D9F">
        <w:rPr>
          <w:rFonts w:eastAsia="Calibri"/>
          <w:i/>
          <w:iCs/>
          <w:sz w:val="24"/>
          <w:szCs w:val="24"/>
        </w:rPr>
        <w:t xml:space="preserve">The Landfill’s GCCS collects landfill gas (LFG) from all areas of the landfill and sends it to a flare station where the LFG is combusted within an enclosed flare. The Landfill, which was </w:t>
      </w:r>
      <w:r w:rsidRPr="004B6D9F">
        <w:rPr>
          <w:rFonts w:eastAsia="Calibri"/>
          <w:i/>
          <w:iCs/>
          <w:sz w:val="24"/>
          <w:szCs w:val="24"/>
        </w:rPr>
        <w:lastRenderedPageBreak/>
        <w:t>constructed on reclaimed tidelands of San Francisco Bay, began receiving waste in 1961 and continued operations until 1983.</w:t>
      </w:r>
    </w:p>
    <w:p w14:paraId="0AE7CE27" w14:textId="77777777" w:rsidR="00017DF6" w:rsidRPr="004B6D9F" w:rsidRDefault="00017DF6" w:rsidP="00017DF6">
      <w:pPr>
        <w:autoSpaceDE w:val="0"/>
        <w:autoSpaceDN w:val="0"/>
        <w:adjustRightInd w:val="0"/>
        <w:jc w:val="both"/>
        <w:rPr>
          <w:rFonts w:eastAsia="Calibri"/>
          <w:i/>
          <w:iCs/>
          <w:sz w:val="24"/>
          <w:szCs w:val="24"/>
        </w:rPr>
      </w:pPr>
    </w:p>
    <w:p w14:paraId="79DC6E9A" w14:textId="77777777" w:rsidR="00017DF6" w:rsidRPr="004B6D9F" w:rsidRDefault="00017DF6" w:rsidP="00017DF6">
      <w:pPr>
        <w:autoSpaceDE w:val="0"/>
        <w:autoSpaceDN w:val="0"/>
        <w:adjustRightInd w:val="0"/>
        <w:jc w:val="both"/>
        <w:rPr>
          <w:rFonts w:eastAsia="Calibri"/>
          <w:i/>
          <w:iCs/>
          <w:sz w:val="24"/>
          <w:szCs w:val="24"/>
        </w:rPr>
      </w:pPr>
      <w:r w:rsidRPr="004B6D9F">
        <w:rPr>
          <w:rFonts w:eastAsia="Calibri"/>
          <w:i/>
          <w:iCs/>
          <w:sz w:val="24"/>
          <w:szCs w:val="24"/>
        </w:rPr>
        <w:t>The GCCS for the site was installed and became operational in 1988. In March 2009, the City</w:t>
      </w:r>
    </w:p>
    <w:p w14:paraId="188C123E" w14:textId="77777777" w:rsidR="00017DF6" w:rsidRPr="004B6D9F" w:rsidRDefault="00017DF6" w:rsidP="00017DF6">
      <w:pPr>
        <w:autoSpaceDE w:val="0"/>
        <w:autoSpaceDN w:val="0"/>
        <w:adjustRightInd w:val="0"/>
        <w:jc w:val="both"/>
        <w:rPr>
          <w:rFonts w:eastAsia="Calibri"/>
          <w:i/>
          <w:iCs/>
          <w:sz w:val="24"/>
          <w:szCs w:val="24"/>
        </w:rPr>
      </w:pPr>
      <w:r w:rsidRPr="004B6D9F">
        <w:rPr>
          <w:rFonts w:eastAsia="Calibri"/>
          <w:i/>
          <w:iCs/>
          <w:sz w:val="24"/>
          <w:szCs w:val="24"/>
        </w:rPr>
        <w:t>petitioned for a Less than Continuous (LTC) Operation allowance for the GCCS. The petition was approved on April 30, 2009 and was repeatedly renewed on a 3-year cycle until the installation of a new, smaller flare was completed in May 2019. As the Landfill was operating on a LTC basis historically, there has not been a concern of exceeding the requirements of Air District Regulation 8, Rule 34, Part 113.2, which allows for up to 240 hours of inspection and maintenance downtime of the GCCS. In 2022, a petition for the continued LTC operation status at the Landfill was submitted to the Air District’s Permitting Division. Upon multiple information requests from the Air District for additional data and the Landfill providing said additional data, the Landfill decided to withdraw the petition as the Air District’s Permitting Division believed massive upgrades were required on the wellfield before they would re-grant the LTC operation status.</w:t>
      </w:r>
    </w:p>
    <w:p w14:paraId="50A49795" w14:textId="77777777" w:rsidR="00017DF6" w:rsidRPr="004B6D9F" w:rsidRDefault="00017DF6" w:rsidP="00017DF6">
      <w:pPr>
        <w:autoSpaceDE w:val="0"/>
        <w:autoSpaceDN w:val="0"/>
        <w:adjustRightInd w:val="0"/>
        <w:jc w:val="both"/>
        <w:rPr>
          <w:rFonts w:eastAsia="Calibri"/>
          <w:sz w:val="24"/>
          <w:szCs w:val="24"/>
        </w:rPr>
      </w:pPr>
    </w:p>
    <w:p w14:paraId="55581EC5" w14:textId="77777777" w:rsidR="00017DF6" w:rsidRPr="004B6D9F" w:rsidRDefault="00017DF6" w:rsidP="00017DF6">
      <w:pPr>
        <w:autoSpaceDE w:val="0"/>
        <w:autoSpaceDN w:val="0"/>
        <w:adjustRightInd w:val="0"/>
        <w:jc w:val="both"/>
        <w:rPr>
          <w:rFonts w:eastAsia="Calibri"/>
          <w:i/>
          <w:iCs/>
          <w:sz w:val="24"/>
          <w:szCs w:val="24"/>
        </w:rPr>
      </w:pPr>
      <w:r w:rsidRPr="004B6D9F">
        <w:rPr>
          <w:rFonts w:eastAsia="Calibri"/>
          <w:i/>
          <w:iCs/>
          <w:sz w:val="24"/>
          <w:szCs w:val="24"/>
        </w:rPr>
        <w:t>In 2015/2016, the City performed extensive below grade LFG vertical extraction well component</w:t>
      </w:r>
    </w:p>
    <w:p w14:paraId="30A15E22" w14:textId="77777777" w:rsidR="00017DF6" w:rsidRPr="004B6D9F" w:rsidRDefault="00017DF6" w:rsidP="00017DF6">
      <w:pPr>
        <w:autoSpaceDE w:val="0"/>
        <w:autoSpaceDN w:val="0"/>
        <w:adjustRightInd w:val="0"/>
        <w:jc w:val="both"/>
        <w:rPr>
          <w:rFonts w:eastAsia="Calibri"/>
          <w:i/>
          <w:iCs/>
          <w:sz w:val="24"/>
          <w:szCs w:val="24"/>
        </w:rPr>
      </w:pPr>
      <w:r w:rsidRPr="004B6D9F">
        <w:rPr>
          <w:rFonts w:eastAsia="Calibri"/>
          <w:i/>
          <w:iCs/>
          <w:sz w:val="24"/>
          <w:szCs w:val="24"/>
        </w:rPr>
        <w:t>upgrades (including lateral pipelines, valves, test ports and security access vaults) and replacements at the Landfill. Therefore, the City believes that no wells require additional repairs at this time, as the LFG composition and generation volume is representative of the age of the landfill and waste placed within.</w:t>
      </w:r>
    </w:p>
    <w:p w14:paraId="39A50DC7" w14:textId="77777777" w:rsidR="00017DF6" w:rsidRPr="004B6D9F" w:rsidRDefault="00017DF6" w:rsidP="00017DF6">
      <w:pPr>
        <w:autoSpaceDE w:val="0"/>
        <w:autoSpaceDN w:val="0"/>
        <w:adjustRightInd w:val="0"/>
        <w:jc w:val="both"/>
        <w:rPr>
          <w:rFonts w:eastAsia="Calibri"/>
          <w:sz w:val="24"/>
          <w:szCs w:val="24"/>
        </w:rPr>
      </w:pPr>
    </w:p>
    <w:p w14:paraId="0C0E5374" w14:textId="77777777" w:rsidR="00017DF6" w:rsidRPr="004B6D9F" w:rsidRDefault="00017DF6" w:rsidP="00017DF6">
      <w:pPr>
        <w:autoSpaceDE w:val="0"/>
        <w:autoSpaceDN w:val="0"/>
        <w:adjustRightInd w:val="0"/>
        <w:jc w:val="both"/>
        <w:rPr>
          <w:rFonts w:eastAsia="Calibri"/>
          <w:i/>
          <w:iCs/>
          <w:sz w:val="24"/>
          <w:szCs w:val="24"/>
        </w:rPr>
      </w:pPr>
      <w:r w:rsidRPr="004B6D9F">
        <w:rPr>
          <w:rFonts w:eastAsia="Calibri"/>
          <w:i/>
          <w:iCs/>
          <w:sz w:val="24"/>
          <w:szCs w:val="24"/>
        </w:rPr>
        <w:t>As the 2022 petition for LTC was not granted by the Air District and subsequently withdrawn by the City, going into 2023, the Landfill was required to utilize the downtime hours as allotted by 8-34-113.2 for qualifying events per Air District Compliance Advisory issued in November 2018. As 2023 commenced, there were two issues which caused GCCS downtime to accrue at an unexpected rate, the first being thermocouple failure, and the second being heavy precipitation.</w:t>
      </w:r>
    </w:p>
    <w:p w14:paraId="1CA4398C" w14:textId="77777777" w:rsidR="00017DF6" w:rsidRPr="004B6D9F" w:rsidRDefault="00017DF6" w:rsidP="00017DF6">
      <w:pPr>
        <w:autoSpaceDE w:val="0"/>
        <w:autoSpaceDN w:val="0"/>
        <w:adjustRightInd w:val="0"/>
        <w:jc w:val="both"/>
        <w:rPr>
          <w:sz w:val="24"/>
          <w:szCs w:val="24"/>
        </w:rPr>
      </w:pPr>
    </w:p>
    <w:p w14:paraId="36EF641D" w14:textId="77777777" w:rsidR="00017DF6" w:rsidRPr="004B6D9F" w:rsidRDefault="00017DF6" w:rsidP="00017DF6">
      <w:pPr>
        <w:autoSpaceDE w:val="0"/>
        <w:autoSpaceDN w:val="0"/>
        <w:adjustRightInd w:val="0"/>
        <w:jc w:val="both"/>
        <w:rPr>
          <w:rFonts w:eastAsia="Calibri"/>
          <w:i/>
          <w:iCs/>
          <w:sz w:val="24"/>
          <w:szCs w:val="24"/>
        </w:rPr>
      </w:pPr>
      <w:r w:rsidRPr="004B6D9F">
        <w:rPr>
          <w:rFonts w:eastAsia="Calibri"/>
          <w:i/>
          <w:iCs/>
          <w:sz w:val="24"/>
          <w:szCs w:val="24"/>
        </w:rPr>
        <w:t>The GCCS will continue to operate, but it is unknown what event(s) could occur which may trigger additional downtime. As noted above, the depleted LFG available for recovery make it difficult to maintain continuous operation at the flare.</w:t>
      </w:r>
    </w:p>
    <w:p w14:paraId="2F63FE7C" w14:textId="77777777" w:rsidR="00017DF6" w:rsidRPr="004B6D9F" w:rsidRDefault="00017DF6" w:rsidP="008D55AC">
      <w:pPr>
        <w:autoSpaceDE w:val="0"/>
        <w:autoSpaceDN w:val="0"/>
        <w:adjustRightInd w:val="0"/>
        <w:rPr>
          <w:rFonts w:eastAsia="Calibri"/>
          <w:sz w:val="24"/>
          <w:szCs w:val="24"/>
        </w:rPr>
      </w:pPr>
    </w:p>
    <w:p w14:paraId="06D56D45" w14:textId="77777777" w:rsidR="009D4F7D" w:rsidRPr="004B6D9F" w:rsidRDefault="009D4F7D" w:rsidP="009D4F7D">
      <w:pPr>
        <w:autoSpaceDE w:val="0"/>
        <w:autoSpaceDN w:val="0"/>
        <w:adjustRightInd w:val="0"/>
        <w:jc w:val="both"/>
        <w:rPr>
          <w:sz w:val="24"/>
          <w:szCs w:val="24"/>
        </w:rPr>
      </w:pPr>
      <w:r w:rsidRPr="004B6D9F">
        <w:rPr>
          <w:b/>
          <w:bCs/>
          <w:sz w:val="24"/>
          <w:szCs w:val="24"/>
        </w:rPr>
        <w:t>Requested Period of Variance:</w:t>
      </w:r>
      <w:r w:rsidRPr="004B6D9F">
        <w:rPr>
          <w:sz w:val="24"/>
          <w:szCs w:val="24"/>
        </w:rPr>
        <w:t xml:space="preserve"> May 26, 2023 to December 31, 2023.</w:t>
      </w:r>
    </w:p>
    <w:p w14:paraId="44CDAE8E" w14:textId="77777777" w:rsidR="009D4F7D" w:rsidRPr="004B6D9F" w:rsidRDefault="009D4F7D" w:rsidP="009D4F7D">
      <w:pPr>
        <w:jc w:val="both"/>
        <w:rPr>
          <w:sz w:val="24"/>
          <w:szCs w:val="24"/>
        </w:rPr>
      </w:pPr>
    </w:p>
    <w:p w14:paraId="00275057" w14:textId="77777777" w:rsidR="005A5E18" w:rsidRPr="004B6D9F" w:rsidRDefault="009D4F7D" w:rsidP="009D4F7D">
      <w:pPr>
        <w:jc w:val="both"/>
        <w:rPr>
          <w:rFonts w:eastAsia="Calibri"/>
          <w:b/>
          <w:bCs/>
          <w:sz w:val="24"/>
          <w:szCs w:val="24"/>
        </w:rPr>
      </w:pPr>
      <w:r w:rsidRPr="004B6D9F">
        <w:rPr>
          <w:b/>
          <w:bCs/>
          <w:sz w:val="24"/>
          <w:szCs w:val="24"/>
        </w:rPr>
        <w:t>Estimated Excess Emissions:</w:t>
      </w:r>
      <w:r w:rsidRPr="004B6D9F">
        <w:rPr>
          <w:sz w:val="24"/>
          <w:szCs w:val="24"/>
        </w:rPr>
        <w:t xml:space="preserve"> (From the Applicant) </w:t>
      </w:r>
      <w:r w:rsidRPr="004B6D9F">
        <w:rPr>
          <w:rFonts w:eastAsia="Calibri"/>
          <w:i/>
          <w:iCs/>
          <w:sz w:val="24"/>
          <w:szCs w:val="24"/>
        </w:rPr>
        <w:t>There have been no excess emissions at the Landfill, up to the present as some downtime is allowed up</w:t>
      </w:r>
      <w:r w:rsidRPr="004B6D9F">
        <w:rPr>
          <w:i/>
          <w:iCs/>
          <w:sz w:val="24"/>
          <w:szCs w:val="24"/>
        </w:rPr>
        <w:t xml:space="preserve"> </w:t>
      </w:r>
      <w:r w:rsidRPr="004B6D9F">
        <w:rPr>
          <w:rFonts w:eastAsia="Calibri"/>
          <w:i/>
          <w:iCs/>
          <w:sz w:val="24"/>
          <w:szCs w:val="24"/>
        </w:rPr>
        <w:t>to 240 hours of downtime within a calendar year per the rule and Air District guidance.</w:t>
      </w:r>
      <w:r w:rsidRPr="004B6D9F">
        <w:rPr>
          <w:i/>
          <w:iCs/>
          <w:sz w:val="24"/>
          <w:szCs w:val="24"/>
        </w:rPr>
        <w:t xml:space="preserve"> </w:t>
      </w:r>
      <w:r w:rsidRPr="004B6D9F">
        <w:rPr>
          <w:rFonts w:eastAsia="Calibri"/>
          <w:i/>
          <w:iCs/>
          <w:sz w:val="24"/>
          <w:szCs w:val="24"/>
        </w:rPr>
        <w:t>As it is not known the amount of downtime which may be required for the remainder of the year, we</w:t>
      </w:r>
      <w:r w:rsidRPr="004B6D9F">
        <w:rPr>
          <w:i/>
          <w:iCs/>
          <w:sz w:val="24"/>
          <w:szCs w:val="24"/>
        </w:rPr>
        <w:t xml:space="preserve"> </w:t>
      </w:r>
      <w:r w:rsidRPr="004B6D9F">
        <w:rPr>
          <w:rFonts w:eastAsia="Calibri"/>
          <w:i/>
          <w:iCs/>
          <w:sz w:val="24"/>
          <w:szCs w:val="24"/>
        </w:rPr>
        <w:t>have conservatively estimated potential emissions based on the results of the 2022 source test at the</w:t>
      </w:r>
      <w:r w:rsidRPr="004B6D9F">
        <w:rPr>
          <w:i/>
          <w:iCs/>
          <w:sz w:val="24"/>
          <w:szCs w:val="24"/>
        </w:rPr>
        <w:t xml:space="preserve"> </w:t>
      </w:r>
      <w:r w:rsidRPr="004B6D9F">
        <w:rPr>
          <w:rFonts w:eastAsia="Calibri"/>
          <w:i/>
          <w:iCs/>
          <w:sz w:val="24"/>
          <w:szCs w:val="24"/>
        </w:rPr>
        <w:t>flare, the historical flow rates and the methane concentrations in 2023. The tons per year were based</w:t>
      </w:r>
      <w:r w:rsidRPr="004B6D9F">
        <w:rPr>
          <w:i/>
          <w:iCs/>
          <w:sz w:val="24"/>
          <w:szCs w:val="24"/>
        </w:rPr>
        <w:t xml:space="preserve"> </w:t>
      </w:r>
      <w:r w:rsidRPr="004B6D9F">
        <w:rPr>
          <w:rFonts w:eastAsia="Calibri"/>
          <w:i/>
          <w:iCs/>
          <w:sz w:val="24"/>
          <w:szCs w:val="24"/>
        </w:rPr>
        <w:t>on a conservative estimate of 240 hours of downtime beyond the original 240 hours of allotted</w:t>
      </w:r>
      <w:r w:rsidRPr="004B6D9F">
        <w:rPr>
          <w:i/>
          <w:iCs/>
          <w:sz w:val="24"/>
          <w:szCs w:val="24"/>
        </w:rPr>
        <w:t xml:space="preserve"> </w:t>
      </w:r>
      <w:r w:rsidRPr="004B6D9F">
        <w:rPr>
          <w:rFonts w:eastAsia="Calibri"/>
          <w:i/>
          <w:iCs/>
          <w:sz w:val="24"/>
          <w:szCs w:val="24"/>
        </w:rPr>
        <w:t>downtime per 8-34-113.2.</w:t>
      </w:r>
    </w:p>
    <w:p w14:paraId="5273C9B7" w14:textId="77777777" w:rsidR="005A5E18" w:rsidRPr="004B6D9F" w:rsidRDefault="005A5E18" w:rsidP="009D4F7D">
      <w:pPr>
        <w:jc w:val="both"/>
        <w:rPr>
          <w:rFonts w:eastAsia="Calibri"/>
          <w:b/>
          <w:bCs/>
          <w:sz w:val="24"/>
          <w:szCs w:val="24"/>
        </w:rPr>
      </w:pPr>
    </w:p>
    <w:p w14:paraId="1A08DBF0" w14:textId="0D3F5A31" w:rsidR="009D4F7D" w:rsidRPr="004B6D9F" w:rsidRDefault="009D4F7D" w:rsidP="009D4F7D">
      <w:pPr>
        <w:jc w:val="both"/>
        <w:rPr>
          <w:rFonts w:eastAsia="Calibri"/>
          <w:b/>
          <w:bCs/>
          <w:sz w:val="24"/>
          <w:szCs w:val="24"/>
        </w:rPr>
      </w:pPr>
      <w:r w:rsidRPr="004B6D9F">
        <w:rPr>
          <w:rFonts w:eastAsia="Calibri"/>
          <w:b/>
          <w:bCs/>
          <w:sz w:val="24"/>
          <w:szCs w:val="24"/>
        </w:rPr>
        <w:t>Table 1. Estimated Excess Emissions (provide by Applicant)</w:t>
      </w:r>
    </w:p>
    <w:p w14:paraId="60EA4786" w14:textId="77777777" w:rsidR="009D4F7D" w:rsidRPr="004B6D9F" w:rsidRDefault="009D4F7D" w:rsidP="009D4F7D">
      <w:pPr>
        <w:jc w:val="both"/>
        <w:rPr>
          <w:rFonts w:ascii="FranklinGothic-Book" w:eastAsia="Calibri" w:hAnsi="FranklinGothic-Book" w:cs="FranklinGothic-Book"/>
          <w:sz w:val="22"/>
          <w:szCs w:val="22"/>
        </w:rPr>
      </w:pPr>
    </w:p>
    <w:tbl>
      <w:tblPr>
        <w:tblStyle w:val="TableGrid"/>
        <w:tblW w:w="0" w:type="auto"/>
        <w:tblLook w:val="04A0" w:firstRow="1" w:lastRow="0" w:firstColumn="1" w:lastColumn="0" w:noHBand="0" w:noVBand="1"/>
      </w:tblPr>
      <w:tblGrid>
        <w:gridCol w:w="4585"/>
        <w:gridCol w:w="1648"/>
        <w:gridCol w:w="3117"/>
      </w:tblGrid>
      <w:tr w:rsidR="008E206B" w:rsidRPr="004B6D9F" w14:paraId="413C6BC0" w14:textId="77777777" w:rsidTr="00B3060B">
        <w:tc>
          <w:tcPr>
            <w:tcW w:w="4585" w:type="dxa"/>
          </w:tcPr>
          <w:p w14:paraId="16C6C882" w14:textId="77777777" w:rsidR="009D4F7D" w:rsidRPr="004B6D9F" w:rsidRDefault="009D4F7D" w:rsidP="00B3060B">
            <w:pPr>
              <w:jc w:val="center"/>
              <w:rPr>
                <w:rFonts w:eastAsia="Calibri" w:cs="Times New Roman"/>
                <w:b/>
                <w:bCs/>
                <w:sz w:val="24"/>
                <w:szCs w:val="24"/>
              </w:rPr>
            </w:pPr>
            <w:r w:rsidRPr="004B6D9F">
              <w:rPr>
                <w:rFonts w:eastAsia="Calibri" w:cs="Times New Roman"/>
                <w:b/>
                <w:bCs/>
                <w:sz w:val="24"/>
                <w:szCs w:val="24"/>
              </w:rPr>
              <w:t>Emissions</w:t>
            </w:r>
          </w:p>
        </w:tc>
        <w:tc>
          <w:tcPr>
            <w:tcW w:w="1648" w:type="dxa"/>
          </w:tcPr>
          <w:p w14:paraId="6306DB1F" w14:textId="77777777" w:rsidR="009D4F7D" w:rsidRPr="004B6D9F" w:rsidRDefault="009D4F7D" w:rsidP="00B3060B">
            <w:pPr>
              <w:jc w:val="center"/>
              <w:rPr>
                <w:rFonts w:eastAsia="Calibri" w:cs="Times New Roman"/>
                <w:b/>
                <w:bCs/>
                <w:sz w:val="24"/>
                <w:szCs w:val="24"/>
              </w:rPr>
            </w:pPr>
            <w:proofErr w:type="spellStart"/>
            <w:r w:rsidRPr="004B6D9F">
              <w:rPr>
                <w:rFonts w:eastAsia="Calibri" w:cs="Times New Roman"/>
                <w:b/>
                <w:bCs/>
                <w:sz w:val="24"/>
                <w:szCs w:val="24"/>
              </w:rPr>
              <w:t>Lb</w:t>
            </w:r>
            <w:proofErr w:type="spellEnd"/>
            <w:r w:rsidRPr="004B6D9F">
              <w:rPr>
                <w:rFonts w:eastAsia="Calibri" w:cs="Times New Roman"/>
                <w:b/>
                <w:bCs/>
                <w:sz w:val="24"/>
                <w:szCs w:val="24"/>
              </w:rPr>
              <w:t>/day</w:t>
            </w:r>
          </w:p>
        </w:tc>
        <w:tc>
          <w:tcPr>
            <w:tcW w:w="3117" w:type="dxa"/>
          </w:tcPr>
          <w:p w14:paraId="1911216F" w14:textId="77777777" w:rsidR="009D4F7D" w:rsidRPr="004B6D9F" w:rsidRDefault="009D4F7D" w:rsidP="00B3060B">
            <w:pPr>
              <w:jc w:val="center"/>
              <w:rPr>
                <w:rFonts w:eastAsia="Calibri" w:cs="Times New Roman"/>
                <w:b/>
                <w:bCs/>
                <w:sz w:val="24"/>
                <w:szCs w:val="24"/>
              </w:rPr>
            </w:pPr>
            <w:r w:rsidRPr="004B6D9F">
              <w:rPr>
                <w:rFonts w:eastAsia="Calibri" w:cs="Times New Roman"/>
                <w:b/>
                <w:bCs/>
                <w:sz w:val="24"/>
                <w:szCs w:val="24"/>
              </w:rPr>
              <w:t>Tons/year</w:t>
            </w:r>
          </w:p>
        </w:tc>
      </w:tr>
      <w:tr w:rsidR="008E206B" w:rsidRPr="004B6D9F" w14:paraId="3F3C88F0" w14:textId="77777777" w:rsidTr="00B3060B">
        <w:tc>
          <w:tcPr>
            <w:tcW w:w="4585" w:type="dxa"/>
          </w:tcPr>
          <w:p w14:paraId="45FE8914" w14:textId="77777777" w:rsidR="009D4F7D" w:rsidRPr="004B6D9F" w:rsidRDefault="009D4F7D" w:rsidP="00B3060B">
            <w:pPr>
              <w:jc w:val="center"/>
              <w:rPr>
                <w:rFonts w:eastAsia="Calibri" w:cs="Times New Roman"/>
                <w:b/>
                <w:bCs/>
                <w:sz w:val="24"/>
                <w:szCs w:val="24"/>
              </w:rPr>
            </w:pPr>
            <w:r w:rsidRPr="004B6D9F">
              <w:rPr>
                <w:rFonts w:eastAsia="Calibri" w:cs="Times New Roman"/>
                <w:b/>
                <w:bCs/>
                <w:sz w:val="24"/>
                <w:szCs w:val="24"/>
              </w:rPr>
              <w:t>Volatile Organic Compounds (VOC)</w:t>
            </w:r>
          </w:p>
        </w:tc>
        <w:tc>
          <w:tcPr>
            <w:tcW w:w="1648" w:type="dxa"/>
          </w:tcPr>
          <w:p w14:paraId="50DDA66C" w14:textId="77777777" w:rsidR="009D4F7D" w:rsidRPr="004B6D9F" w:rsidRDefault="009D4F7D" w:rsidP="00B3060B">
            <w:pPr>
              <w:jc w:val="center"/>
              <w:rPr>
                <w:rFonts w:eastAsia="Calibri" w:cs="Times New Roman"/>
                <w:sz w:val="24"/>
                <w:szCs w:val="24"/>
              </w:rPr>
            </w:pPr>
            <w:r w:rsidRPr="004B6D9F">
              <w:rPr>
                <w:rFonts w:eastAsia="Calibri" w:cs="Times New Roman"/>
                <w:sz w:val="24"/>
                <w:szCs w:val="24"/>
              </w:rPr>
              <w:t>0.87</w:t>
            </w:r>
          </w:p>
        </w:tc>
        <w:tc>
          <w:tcPr>
            <w:tcW w:w="3117" w:type="dxa"/>
          </w:tcPr>
          <w:p w14:paraId="62465520" w14:textId="77777777" w:rsidR="009D4F7D" w:rsidRPr="004B6D9F" w:rsidRDefault="009D4F7D" w:rsidP="00B3060B">
            <w:pPr>
              <w:jc w:val="center"/>
              <w:rPr>
                <w:rFonts w:eastAsia="Calibri" w:cs="Times New Roman"/>
                <w:sz w:val="24"/>
                <w:szCs w:val="24"/>
              </w:rPr>
            </w:pPr>
            <w:r w:rsidRPr="004B6D9F">
              <w:rPr>
                <w:rFonts w:eastAsia="Calibri" w:cs="Times New Roman"/>
                <w:sz w:val="24"/>
                <w:szCs w:val="24"/>
              </w:rPr>
              <w:t>0.0043</w:t>
            </w:r>
          </w:p>
        </w:tc>
      </w:tr>
      <w:tr w:rsidR="008E206B" w:rsidRPr="004B6D9F" w14:paraId="27F3BA07" w14:textId="77777777" w:rsidTr="00B3060B">
        <w:tc>
          <w:tcPr>
            <w:tcW w:w="4585" w:type="dxa"/>
          </w:tcPr>
          <w:p w14:paraId="105E30A3" w14:textId="77777777" w:rsidR="009D4F7D" w:rsidRPr="004B6D9F" w:rsidRDefault="009D4F7D" w:rsidP="00B3060B">
            <w:pPr>
              <w:jc w:val="center"/>
              <w:rPr>
                <w:rFonts w:eastAsia="Calibri" w:cs="Times New Roman"/>
                <w:b/>
                <w:bCs/>
                <w:sz w:val="24"/>
                <w:szCs w:val="24"/>
              </w:rPr>
            </w:pPr>
            <w:r w:rsidRPr="004B6D9F">
              <w:rPr>
                <w:rFonts w:eastAsia="Calibri" w:cs="Times New Roman"/>
                <w:b/>
                <w:bCs/>
                <w:sz w:val="24"/>
                <w:szCs w:val="24"/>
              </w:rPr>
              <w:t>Non-Methane Organic Compounds</w:t>
            </w:r>
          </w:p>
        </w:tc>
        <w:tc>
          <w:tcPr>
            <w:tcW w:w="1648" w:type="dxa"/>
          </w:tcPr>
          <w:p w14:paraId="087CA1B4" w14:textId="77777777" w:rsidR="009D4F7D" w:rsidRPr="004B6D9F" w:rsidRDefault="009D4F7D" w:rsidP="00B3060B">
            <w:pPr>
              <w:jc w:val="center"/>
              <w:rPr>
                <w:rFonts w:eastAsia="Calibri" w:cs="Times New Roman"/>
                <w:sz w:val="24"/>
                <w:szCs w:val="24"/>
              </w:rPr>
            </w:pPr>
            <w:r w:rsidRPr="004B6D9F">
              <w:rPr>
                <w:rFonts w:eastAsia="Calibri" w:cs="Times New Roman"/>
                <w:sz w:val="24"/>
                <w:szCs w:val="24"/>
              </w:rPr>
              <w:t>0.89</w:t>
            </w:r>
          </w:p>
        </w:tc>
        <w:tc>
          <w:tcPr>
            <w:tcW w:w="3117" w:type="dxa"/>
          </w:tcPr>
          <w:p w14:paraId="30542A9E" w14:textId="77777777" w:rsidR="009D4F7D" w:rsidRPr="004B6D9F" w:rsidRDefault="009D4F7D" w:rsidP="00B3060B">
            <w:pPr>
              <w:jc w:val="center"/>
              <w:rPr>
                <w:rFonts w:eastAsia="Calibri" w:cs="Times New Roman"/>
                <w:sz w:val="24"/>
                <w:szCs w:val="24"/>
              </w:rPr>
            </w:pPr>
            <w:r w:rsidRPr="004B6D9F">
              <w:rPr>
                <w:rFonts w:eastAsia="Calibri" w:cs="Times New Roman"/>
                <w:sz w:val="24"/>
                <w:szCs w:val="24"/>
              </w:rPr>
              <w:t>0.0045</w:t>
            </w:r>
          </w:p>
        </w:tc>
      </w:tr>
      <w:tr w:rsidR="009D4F7D" w:rsidRPr="004B6D9F" w14:paraId="10E85C98" w14:textId="77777777" w:rsidTr="00B3060B">
        <w:tc>
          <w:tcPr>
            <w:tcW w:w="4585" w:type="dxa"/>
          </w:tcPr>
          <w:p w14:paraId="4C347516" w14:textId="77777777" w:rsidR="009D4F7D" w:rsidRPr="004B6D9F" w:rsidRDefault="009D4F7D" w:rsidP="00B3060B">
            <w:pPr>
              <w:jc w:val="center"/>
              <w:rPr>
                <w:rFonts w:eastAsia="Calibri" w:cs="Times New Roman"/>
                <w:b/>
                <w:bCs/>
                <w:sz w:val="24"/>
                <w:szCs w:val="24"/>
              </w:rPr>
            </w:pPr>
            <w:r w:rsidRPr="004B6D9F">
              <w:rPr>
                <w:rFonts w:eastAsia="Calibri" w:cs="Times New Roman"/>
                <w:b/>
                <w:bCs/>
                <w:sz w:val="24"/>
                <w:szCs w:val="24"/>
              </w:rPr>
              <w:t>Hazardous Air Pollutants</w:t>
            </w:r>
          </w:p>
        </w:tc>
        <w:tc>
          <w:tcPr>
            <w:tcW w:w="1648" w:type="dxa"/>
          </w:tcPr>
          <w:p w14:paraId="137C9EF7" w14:textId="77777777" w:rsidR="009D4F7D" w:rsidRPr="004B6D9F" w:rsidRDefault="009D4F7D" w:rsidP="00B3060B">
            <w:pPr>
              <w:jc w:val="center"/>
              <w:rPr>
                <w:rFonts w:eastAsia="Calibri" w:cs="Times New Roman"/>
                <w:sz w:val="24"/>
                <w:szCs w:val="24"/>
              </w:rPr>
            </w:pPr>
            <w:r w:rsidRPr="004B6D9F">
              <w:rPr>
                <w:rFonts w:eastAsia="Calibri" w:cs="Times New Roman"/>
                <w:sz w:val="24"/>
                <w:szCs w:val="24"/>
              </w:rPr>
              <w:t>0.05</w:t>
            </w:r>
          </w:p>
        </w:tc>
        <w:tc>
          <w:tcPr>
            <w:tcW w:w="3117" w:type="dxa"/>
          </w:tcPr>
          <w:p w14:paraId="2EEB38A2" w14:textId="77777777" w:rsidR="009D4F7D" w:rsidRPr="004B6D9F" w:rsidRDefault="009D4F7D" w:rsidP="00B3060B">
            <w:pPr>
              <w:jc w:val="center"/>
              <w:rPr>
                <w:rFonts w:eastAsia="Calibri" w:cs="Times New Roman"/>
                <w:sz w:val="24"/>
                <w:szCs w:val="24"/>
              </w:rPr>
            </w:pPr>
            <w:r w:rsidRPr="004B6D9F">
              <w:rPr>
                <w:rFonts w:eastAsia="Calibri" w:cs="Times New Roman"/>
                <w:sz w:val="24"/>
                <w:szCs w:val="24"/>
              </w:rPr>
              <w:t>0.0003</w:t>
            </w:r>
          </w:p>
        </w:tc>
      </w:tr>
    </w:tbl>
    <w:p w14:paraId="3D350078" w14:textId="77777777" w:rsidR="009D4F7D" w:rsidRPr="004B6D9F" w:rsidRDefault="009D4F7D" w:rsidP="009D4F7D">
      <w:pPr>
        <w:jc w:val="both"/>
        <w:rPr>
          <w:rFonts w:ascii="FranklinGothic-Book" w:eastAsia="Calibri" w:hAnsi="FranklinGothic-Book" w:cs="FranklinGothic-Book"/>
          <w:sz w:val="22"/>
          <w:szCs w:val="22"/>
        </w:rPr>
      </w:pPr>
    </w:p>
    <w:p w14:paraId="4208123B" w14:textId="357A7F9D" w:rsidR="009D4F7D" w:rsidRPr="004B6D9F" w:rsidRDefault="009D4F7D" w:rsidP="008D55AC">
      <w:pPr>
        <w:autoSpaceDE w:val="0"/>
        <w:autoSpaceDN w:val="0"/>
        <w:adjustRightInd w:val="0"/>
        <w:rPr>
          <w:rFonts w:eastAsia="Calibri"/>
          <w:sz w:val="24"/>
          <w:szCs w:val="24"/>
        </w:rPr>
      </w:pPr>
      <w:r w:rsidRPr="004B6D9F">
        <w:rPr>
          <w:rFonts w:eastAsia="Calibri"/>
          <w:i/>
          <w:iCs/>
          <w:sz w:val="24"/>
          <w:szCs w:val="24"/>
        </w:rPr>
        <w:lastRenderedPageBreak/>
        <w:t>Emissions estimates are based on proposed operation of 24 hours/day and 240 hours/year</w:t>
      </w:r>
    </w:p>
    <w:p w14:paraId="2E328088" w14:textId="52876614" w:rsidR="00017DF6" w:rsidRPr="004B6D9F" w:rsidRDefault="008D55AC" w:rsidP="008D55AC">
      <w:pPr>
        <w:autoSpaceDE w:val="0"/>
        <w:autoSpaceDN w:val="0"/>
        <w:adjustRightInd w:val="0"/>
        <w:rPr>
          <w:rFonts w:eastAsia="Calibri"/>
          <w:sz w:val="24"/>
          <w:szCs w:val="24"/>
        </w:rPr>
      </w:pPr>
      <w:r w:rsidRPr="004B6D9F">
        <w:rPr>
          <w:rFonts w:eastAsia="Calibri"/>
          <w:sz w:val="24"/>
          <w:szCs w:val="24"/>
        </w:rPr>
        <w:t>From A</w:t>
      </w:r>
      <w:r w:rsidR="00017DF6" w:rsidRPr="004B6D9F">
        <w:rPr>
          <w:rFonts w:eastAsia="Calibri"/>
          <w:sz w:val="24"/>
          <w:szCs w:val="24"/>
        </w:rPr>
        <w:t>ir District’s Accusation (Docket 3747):</w:t>
      </w:r>
    </w:p>
    <w:p w14:paraId="6F42BD66" w14:textId="77777777" w:rsidR="00017DF6" w:rsidRPr="004B6D9F" w:rsidRDefault="00017DF6" w:rsidP="008D55AC">
      <w:pPr>
        <w:autoSpaceDE w:val="0"/>
        <w:autoSpaceDN w:val="0"/>
        <w:adjustRightInd w:val="0"/>
        <w:rPr>
          <w:rFonts w:eastAsia="Calibri"/>
          <w:sz w:val="24"/>
          <w:szCs w:val="24"/>
        </w:rPr>
      </w:pPr>
    </w:p>
    <w:p w14:paraId="27AA091A" w14:textId="1C32319F" w:rsidR="008D55AC" w:rsidRPr="004B6D9F" w:rsidRDefault="00017DF6" w:rsidP="00017DF6">
      <w:pPr>
        <w:autoSpaceDE w:val="0"/>
        <w:autoSpaceDN w:val="0"/>
        <w:adjustRightInd w:val="0"/>
        <w:jc w:val="both"/>
        <w:rPr>
          <w:rFonts w:eastAsia="Calibri"/>
          <w:i/>
          <w:iCs/>
          <w:sz w:val="24"/>
          <w:szCs w:val="24"/>
        </w:rPr>
      </w:pPr>
      <w:r w:rsidRPr="004B6D9F">
        <w:rPr>
          <w:rFonts w:eastAsia="Calibri"/>
          <w:i/>
          <w:iCs/>
          <w:sz w:val="24"/>
          <w:szCs w:val="24"/>
        </w:rPr>
        <w:t>The Air District seeks an Abatement Order to require testing for possible offsite migration of landfill gas; locate, repair, and operate lost landfill gas collection wells; repair leaks; and implement better inspection, repair and monitoring of Respondent's flare and Landfill Gas Collection and Control System (GCCS),</w:t>
      </w:r>
      <w:r w:rsidRPr="004B6D9F">
        <w:rPr>
          <w:rFonts w:eastAsia="Calibri"/>
          <w:b/>
          <w:bCs/>
          <w:i/>
          <w:iCs/>
          <w:sz w:val="24"/>
          <w:szCs w:val="24"/>
        </w:rPr>
        <w:t xml:space="preserve"> </w:t>
      </w:r>
      <w:r w:rsidRPr="004B6D9F">
        <w:rPr>
          <w:rFonts w:eastAsia="Calibri"/>
          <w:i/>
          <w:iCs/>
          <w:sz w:val="24"/>
          <w:szCs w:val="24"/>
        </w:rPr>
        <w:t xml:space="preserve">including landfill gas collection wells and other piping. These measures are all necessary to reduce emissions of landfill gas to the atmosphere. </w:t>
      </w:r>
    </w:p>
    <w:p w14:paraId="24B2718F" w14:textId="77777777" w:rsidR="006A72CF" w:rsidRPr="004B6D9F" w:rsidRDefault="006A72CF" w:rsidP="00017DF6">
      <w:pPr>
        <w:autoSpaceDE w:val="0"/>
        <w:autoSpaceDN w:val="0"/>
        <w:adjustRightInd w:val="0"/>
        <w:jc w:val="both"/>
        <w:rPr>
          <w:rFonts w:eastAsia="Calibri"/>
          <w:i/>
          <w:iCs/>
          <w:sz w:val="24"/>
          <w:szCs w:val="24"/>
        </w:rPr>
      </w:pPr>
    </w:p>
    <w:p w14:paraId="0C6382B7" w14:textId="77777777" w:rsidR="006A72CF" w:rsidRPr="004B6D9F" w:rsidRDefault="006A72CF" w:rsidP="006A72CF">
      <w:pPr>
        <w:autoSpaceDE w:val="0"/>
        <w:autoSpaceDN w:val="0"/>
        <w:adjustRightInd w:val="0"/>
        <w:jc w:val="both"/>
        <w:rPr>
          <w:i/>
          <w:iCs/>
          <w:sz w:val="24"/>
          <w:szCs w:val="24"/>
        </w:rPr>
      </w:pPr>
      <w:r w:rsidRPr="004B6D9F">
        <w:rPr>
          <w:i/>
          <w:iCs/>
          <w:sz w:val="24"/>
          <w:szCs w:val="24"/>
        </w:rPr>
        <w:t>The APCO seeks an Order of Abatement against Berkeley Landfill to address ongoing, repeated violations of Air District Regulation ("Reg.") 8-34-301. l, California Code of Regulations ("CCR") Title 17, Section 95464(b)(l)(A), part of 17 CCR Sections 95460-94476, the State Landfill Methane Rule ("State LMR"), and its Permit Condition ("P/C") 1826, Part 3, each of which require continuous operation of the Landfill's GCCS. Air District Regulation 8-34 is a federally enforceable regulation. Those violations have resulted in illegal unabated emissions of harmful landfill gas at the Berkeley Landfill.</w:t>
      </w:r>
    </w:p>
    <w:p w14:paraId="609A5A54" w14:textId="77777777" w:rsidR="006A72CF" w:rsidRPr="004B6D9F" w:rsidRDefault="006A72CF" w:rsidP="006A72CF">
      <w:pPr>
        <w:autoSpaceDE w:val="0"/>
        <w:autoSpaceDN w:val="0"/>
        <w:adjustRightInd w:val="0"/>
        <w:jc w:val="both"/>
        <w:rPr>
          <w:i/>
          <w:iCs/>
          <w:sz w:val="24"/>
          <w:szCs w:val="24"/>
        </w:rPr>
      </w:pPr>
    </w:p>
    <w:p w14:paraId="1C883D08" w14:textId="77777777" w:rsidR="006A72CF" w:rsidRPr="004B6D9F" w:rsidRDefault="006A72CF" w:rsidP="006A72CF">
      <w:pPr>
        <w:autoSpaceDE w:val="0"/>
        <w:autoSpaceDN w:val="0"/>
        <w:adjustRightInd w:val="0"/>
        <w:jc w:val="both"/>
        <w:rPr>
          <w:i/>
          <w:iCs/>
          <w:sz w:val="24"/>
          <w:szCs w:val="24"/>
        </w:rPr>
      </w:pPr>
      <w:r w:rsidRPr="004B6D9F">
        <w:rPr>
          <w:i/>
          <w:iCs/>
          <w:sz w:val="24"/>
          <w:szCs w:val="24"/>
        </w:rPr>
        <w:t>Berkeley Landfill is a closed landfill owned by the City of Berkeley (the "City") and currently developed as Cesar Chavez Park. The Landfill has been closed, i.e. not accepting any new solid waste, since 1983. As part of required post-closure operations, the Landfill operates a GCCS, which collects landfill gas from the decomposing material in the Landfill and combusts it in an enclosed flare. The Landfill has contracted with SCS Engineers ("SCS") for the operation and maintenance of the Landfill and its GCCS and for compliance monitoring and measures necessary to comply with Air District and CA Regulations.</w:t>
      </w:r>
    </w:p>
    <w:p w14:paraId="319A20B1" w14:textId="77777777" w:rsidR="006A72CF" w:rsidRPr="004B6D9F" w:rsidRDefault="006A72CF" w:rsidP="006A72CF">
      <w:pPr>
        <w:autoSpaceDE w:val="0"/>
        <w:autoSpaceDN w:val="0"/>
        <w:adjustRightInd w:val="0"/>
        <w:jc w:val="both"/>
        <w:rPr>
          <w:rFonts w:ascii="Arial" w:hAnsi="Arial" w:cs="Arial"/>
          <w:i/>
          <w:iCs/>
          <w:sz w:val="24"/>
          <w:szCs w:val="24"/>
        </w:rPr>
      </w:pPr>
    </w:p>
    <w:p w14:paraId="00E4F667" w14:textId="77777777" w:rsidR="006A72CF" w:rsidRPr="004B6D9F" w:rsidRDefault="006A72CF" w:rsidP="006A72CF">
      <w:pPr>
        <w:autoSpaceDE w:val="0"/>
        <w:autoSpaceDN w:val="0"/>
        <w:adjustRightInd w:val="0"/>
        <w:jc w:val="both"/>
        <w:rPr>
          <w:i/>
          <w:iCs/>
          <w:sz w:val="24"/>
          <w:szCs w:val="24"/>
        </w:rPr>
      </w:pPr>
      <w:r w:rsidRPr="004B6D9F">
        <w:rPr>
          <w:i/>
          <w:iCs/>
          <w:sz w:val="24"/>
          <w:szCs w:val="24"/>
        </w:rPr>
        <w:t>Landfill Gas ("LFG") is comprised of Methane which is a potent greenhouse gas, Carbon Monoxide ("CO"), Non-methane Organic Compounds ("NMOC"), Toxic Air Contaminants ("TACs"), and other compounds which can be emitted when the Gas Collection System ("GCS") and flare are not operated continuously and when there are leaks of landfill gas from the landfill surface and/or from GCCS components. In fact, the Air District has determined that Berkeley Landfill is not operating its GCCS continuously, which results in illegal emissions to atmosphere.</w:t>
      </w:r>
    </w:p>
    <w:p w14:paraId="1AA3A98D" w14:textId="77777777" w:rsidR="006A72CF" w:rsidRPr="004B6D9F" w:rsidRDefault="006A72CF" w:rsidP="006A72CF">
      <w:pPr>
        <w:autoSpaceDE w:val="0"/>
        <w:autoSpaceDN w:val="0"/>
        <w:adjustRightInd w:val="0"/>
        <w:jc w:val="both"/>
        <w:rPr>
          <w:i/>
          <w:iCs/>
          <w:sz w:val="24"/>
          <w:szCs w:val="24"/>
        </w:rPr>
      </w:pPr>
    </w:p>
    <w:p w14:paraId="13AC471D" w14:textId="77777777" w:rsidR="006A72CF" w:rsidRPr="004B6D9F" w:rsidRDefault="006A72CF" w:rsidP="006A72CF">
      <w:pPr>
        <w:autoSpaceDE w:val="0"/>
        <w:autoSpaceDN w:val="0"/>
        <w:adjustRightInd w:val="0"/>
        <w:jc w:val="both"/>
        <w:rPr>
          <w:b/>
          <w:bCs/>
          <w:i/>
          <w:iCs/>
          <w:sz w:val="24"/>
          <w:szCs w:val="24"/>
        </w:rPr>
      </w:pPr>
      <w:r w:rsidRPr="004B6D9F">
        <w:rPr>
          <w:b/>
          <w:bCs/>
          <w:i/>
          <w:iCs/>
          <w:sz w:val="24"/>
          <w:szCs w:val="24"/>
        </w:rPr>
        <w:t>BERKELEY LANDFILL IS OPERATING IN</w:t>
      </w:r>
      <w:r w:rsidRPr="004B6D9F">
        <w:rPr>
          <w:i/>
          <w:iCs/>
          <w:sz w:val="24"/>
          <w:szCs w:val="24"/>
        </w:rPr>
        <w:t xml:space="preserve"> </w:t>
      </w:r>
      <w:r w:rsidRPr="004B6D9F">
        <w:rPr>
          <w:b/>
          <w:bCs/>
          <w:i/>
          <w:iCs/>
          <w:sz w:val="24"/>
          <w:szCs w:val="24"/>
        </w:rPr>
        <w:t xml:space="preserve">VIOLATION OF THE REQUIREMENT THAT IT CONTINUOUSLY OPERATE ITS GAS COLLECTION SYSTEM. </w:t>
      </w:r>
    </w:p>
    <w:p w14:paraId="5330E28D" w14:textId="77777777" w:rsidR="006A72CF" w:rsidRPr="004B6D9F" w:rsidRDefault="006A72CF" w:rsidP="006A72CF">
      <w:pPr>
        <w:autoSpaceDE w:val="0"/>
        <w:autoSpaceDN w:val="0"/>
        <w:adjustRightInd w:val="0"/>
        <w:jc w:val="both"/>
        <w:rPr>
          <w:b/>
          <w:bCs/>
          <w:i/>
          <w:iCs/>
          <w:sz w:val="24"/>
          <w:szCs w:val="24"/>
        </w:rPr>
      </w:pPr>
    </w:p>
    <w:p w14:paraId="15700BD9" w14:textId="77777777" w:rsidR="006A72CF" w:rsidRPr="004B6D9F" w:rsidRDefault="006A72CF" w:rsidP="006A72CF">
      <w:pPr>
        <w:autoSpaceDE w:val="0"/>
        <w:autoSpaceDN w:val="0"/>
        <w:adjustRightInd w:val="0"/>
        <w:jc w:val="both"/>
        <w:rPr>
          <w:i/>
          <w:iCs/>
          <w:sz w:val="24"/>
          <w:szCs w:val="24"/>
        </w:rPr>
      </w:pPr>
      <w:r w:rsidRPr="004B6D9F">
        <w:rPr>
          <w:i/>
          <w:iCs/>
          <w:sz w:val="24"/>
          <w:szCs w:val="24"/>
        </w:rPr>
        <w:t>The Air District seeks an abatement order prohibiting the Berkeley Landfill from violating Reg. 301.1, its Permit Condition 1826, and the State LMR section 95464(b )(1 )(A) and requiring that it takes a series of actions designed to bring the operations into compliance. These compliance actions include:</w:t>
      </w:r>
    </w:p>
    <w:p w14:paraId="06834865" w14:textId="77777777" w:rsidR="006A72CF" w:rsidRPr="004B6D9F" w:rsidRDefault="006A72CF" w:rsidP="006A72CF">
      <w:pPr>
        <w:autoSpaceDE w:val="0"/>
        <w:autoSpaceDN w:val="0"/>
        <w:adjustRightInd w:val="0"/>
        <w:jc w:val="both"/>
        <w:rPr>
          <w:i/>
          <w:iCs/>
          <w:sz w:val="24"/>
          <w:szCs w:val="24"/>
        </w:rPr>
      </w:pPr>
    </w:p>
    <w:p w14:paraId="757D05E2" w14:textId="77777777" w:rsidR="006A72CF" w:rsidRPr="004B6D9F" w:rsidRDefault="006A72CF" w:rsidP="006A72CF">
      <w:pPr>
        <w:pStyle w:val="ListParagraph"/>
        <w:numPr>
          <w:ilvl w:val="0"/>
          <w:numId w:val="17"/>
        </w:numPr>
        <w:autoSpaceDE w:val="0"/>
        <w:autoSpaceDN w:val="0"/>
        <w:adjustRightInd w:val="0"/>
        <w:jc w:val="both"/>
        <w:rPr>
          <w:i/>
          <w:iCs/>
          <w:sz w:val="24"/>
          <w:szCs w:val="24"/>
        </w:rPr>
      </w:pPr>
      <w:r w:rsidRPr="004B6D9F">
        <w:rPr>
          <w:i/>
          <w:iCs/>
          <w:sz w:val="24"/>
          <w:szCs w:val="24"/>
        </w:rPr>
        <w:t>locating, repairing, and confirming all landfill gas collection wells required by the Landfill's Permit to Operate are collecting landfill gas;</w:t>
      </w:r>
    </w:p>
    <w:p w14:paraId="58579BF9" w14:textId="77777777" w:rsidR="006A72CF" w:rsidRPr="004B6D9F" w:rsidRDefault="006A72CF" w:rsidP="006A72CF">
      <w:pPr>
        <w:pStyle w:val="ListParagraph"/>
        <w:numPr>
          <w:ilvl w:val="0"/>
          <w:numId w:val="17"/>
        </w:numPr>
        <w:autoSpaceDE w:val="0"/>
        <w:autoSpaceDN w:val="0"/>
        <w:adjustRightInd w:val="0"/>
        <w:jc w:val="both"/>
        <w:rPr>
          <w:i/>
          <w:iCs/>
          <w:sz w:val="24"/>
          <w:szCs w:val="24"/>
        </w:rPr>
      </w:pPr>
      <w:r w:rsidRPr="004B6D9F">
        <w:rPr>
          <w:i/>
          <w:iCs/>
          <w:sz w:val="24"/>
          <w:szCs w:val="24"/>
        </w:rPr>
        <w:t>repairing LFG leaks;</w:t>
      </w:r>
    </w:p>
    <w:p w14:paraId="34077673" w14:textId="77777777" w:rsidR="006A72CF" w:rsidRPr="004B6D9F" w:rsidRDefault="006A72CF" w:rsidP="006A72CF">
      <w:pPr>
        <w:pStyle w:val="ListParagraph"/>
        <w:numPr>
          <w:ilvl w:val="0"/>
          <w:numId w:val="17"/>
        </w:numPr>
        <w:autoSpaceDE w:val="0"/>
        <w:autoSpaceDN w:val="0"/>
        <w:adjustRightInd w:val="0"/>
        <w:jc w:val="both"/>
        <w:rPr>
          <w:i/>
          <w:iCs/>
          <w:sz w:val="24"/>
          <w:szCs w:val="24"/>
        </w:rPr>
      </w:pPr>
      <w:r w:rsidRPr="004B6D9F">
        <w:rPr>
          <w:i/>
          <w:iCs/>
          <w:sz w:val="24"/>
          <w:szCs w:val="24"/>
        </w:rPr>
        <w:t>inspecting, repairing, and, if necessary, submitting a permit application to modify its GCS to optimize LFG collection and minimize air ( oxygen) intrusion;</w:t>
      </w:r>
    </w:p>
    <w:p w14:paraId="1D57EF33" w14:textId="77777777" w:rsidR="006A72CF" w:rsidRPr="004B6D9F" w:rsidRDefault="006A72CF" w:rsidP="006A72CF">
      <w:pPr>
        <w:pStyle w:val="ListParagraph"/>
        <w:numPr>
          <w:ilvl w:val="0"/>
          <w:numId w:val="17"/>
        </w:numPr>
        <w:autoSpaceDE w:val="0"/>
        <w:autoSpaceDN w:val="0"/>
        <w:adjustRightInd w:val="0"/>
        <w:jc w:val="both"/>
        <w:rPr>
          <w:i/>
          <w:iCs/>
          <w:sz w:val="24"/>
          <w:szCs w:val="24"/>
        </w:rPr>
      </w:pPr>
      <w:r w:rsidRPr="004B6D9F">
        <w:rPr>
          <w:i/>
          <w:iCs/>
          <w:sz w:val="24"/>
          <w:szCs w:val="24"/>
        </w:rPr>
        <w:t>collecting and testing methane gas at all offsite monitoring probes to determine whether or not it is LFG from the Berkeley Landfill;</w:t>
      </w:r>
    </w:p>
    <w:p w14:paraId="513B777D" w14:textId="4098D1A3" w:rsidR="006A72CF" w:rsidRPr="004B6D9F" w:rsidRDefault="006A72CF" w:rsidP="006A72CF">
      <w:pPr>
        <w:pStyle w:val="ListParagraph"/>
        <w:numPr>
          <w:ilvl w:val="0"/>
          <w:numId w:val="17"/>
        </w:numPr>
        <w:autoSpaceDE w:val="0"/>
        <w:autoSpaceDN w:val="0"/>
        <w:adjustRightInd w:val="0"/>
        <w:jc w:val="both"/>
        <w:rPr>
          <w:i/>
          <w:iCs/>
          <w:sz w:val="24"/>
          <w:szCs w:val="24"/>
        </w:rPr>
      </w:pPr>
      <w:r w:rsidRPr="004B6D9F">
        <w:rPr>
          <w:i/>
          <w:iCs/>
          <w:sz w:val="24"/>
          <w:szCs w:val="24"/>
        </w:rPr>
        <w:lastRenderedPageBreak/>
        <w:t>contracting the flare manufacturer to inspect and properly service the Landfill' s onsite flare; and</w:t>
      </w:r>
      <w:r w:rsidR="002E619F" w:rsidRPr="004B6D9F">
        <w:rPr>
          <w:i/>
          <w:iCs/>
          <w:sz w:val="24"/>
          <w:szCs w:val="24"/>
        </w:rPr>
        <w:t xml:space="preserve"> </w:t>
      </w:r>
      <w:r w:rsidRPr="004B6D9F">
        <w:rPr>
          <w:i/>
          <w:iCs/>
          <w:sz w:val="24"/>
          <w:szCs w:val="24"/>
        </w:rPr>
        <w:t>conducting a site-wide drone survey to detect LFG leaks to aid in GCS repair</w:t>
      </w:r>
      <w:r w:rsidR="009D4F7D" w:rsidRPr="004B6D9F">
        <w:rPr>
          <w:i/>
          <w:iCs/>
          <w:sz w:val="24"/>
          <w:szCs w:val="24"/>
        </w:rPr>
        <w:t xml:space="preserve"> </w:t>
      </w:r>
      <w:r w:rsidRPr="004B6D9F">
        <w:rPr>
          <w:i/>
          <w:iCs/>
          <w:sz w:val="24"/>
          <w:szCs w:val="24"/>
        </w:rPr>
        <w:t>and possibly identify the offsite gas migration pathway</w:t>
      </w:r>
    </w:p>
    <w:p w14:paraId="044E59E8" w14:textId="77777777" w:rsidR="008D55AC" w:rsidRPr="004B6D9F" w:rsidRDefault="008D55AC" w:rsidP="008D55AC">
      <w:pPr>
        <w:rPr>
          <w:sz w:val="24"/>
          <w:szCs w:val="24"/>
        </w:rPr>
      </w:pPr>
    </w:p>
    <w:p w14:paraId="4CDBC4BD" w14:textId="1E0754DE" w:rsidR="008D55AC" w:rsidRPr="004B6D9F" w:rsidRDefault="008D55AC" w:rsidP="008D55AC">
      <w:pPr>
        <w:jc w:val="both"/>
        <w:rPr>
          <w:sz w:val="24"/>
          <w:szCs w:val="24"/>
        </w:rPr>
      </w:pPr>
      <w:r w:rsidRPr="004B6D9F">
        <w:rPr>
          <w:b/>
          <w:bCs/>
          <w:sz w:val="24"/>
          <w:szCs w:val="24"/>
        </w:rPr>
        <w:t>Fees collected this quarter</w:t>
      </w:r>
      <w:r w:rsidR="006A72CF" w:rsidRPr="004B6D9F">
        <w:rPr>
          <w:b/>
          <w:bCs/>
          <w:sz w:val="24"/>
          <w:szCs w:val="24"/>
        </w:rPr>
        <w:t xml:space="preserve"> (for Docket 3741, which was a variance)</w:t>
      </w:r>
      <w:r w:rsidRPr="004B6D9F">
        <w:rPr>
          <w:b/>
          <w:bCs/>
          <w:sz w:val="24"/>
          <w:szCs w:val="24"/>
        </w:rPr>
        <w:t>:</w:t>
      </w:r>
      <w:r w:rsidRPr="004B6D9F">
        <w:rPr>
          <w:sz w:val="24"/>
          <w:szCs w:val="24"/>
        </w:rPr>
        <w:t xml:space="preserve"> $</w:t>
      </w:r>
      <w:r w:rsidR="006A72CF" w:rsidRPr="004B6D9F">
        <w:rPr>
          <w:sz w:val="24"/>
          <w:szCs w:val="24"/>
        </w:rPr>
        <w:t>0</w:t>
      </w:r>
    </w:p>
    <w:p w14:paraId="26176DFD" w14:textId="77777777" w:rsidR="008D55AC" w:rsidRPr="004B6D9F" w:rsidRDefault="008D55AC" w:rsidP="008D55AC">
      <w:pPr>
        <w:jc w:val="both"/>
        <w:rPr>
          <w:sz w:val="24"/>
          <w:szCs w:val="24"/>
        </w:rPr>
      </w:pPr>
    </w:p>
    <w:p w14:paraId="6BE348E4" w14:textId="2EB1F361" w:rsidR="008D55AC" w:rsidRPr="004B6D9F" w:rsidRDefault="008D55AC" w:rsidP="0046686D">
      <w:pPr>
        <w:pStyle w:val="Default"/>
        <w:spacing w:line="240" w:lineRule="auto"/>
        <w:jc w:val="both"/>
        <w:rPr>
          <w:rFonts w:ascii="Times New Roman" w:hAnsi="Times New Roman" w:cs="Times New Roman"/>
          <w:sz w:val="24"/>
          <w:szCs w:val="24"/>
        </w:rPr>
      </w:pPr>
      <w:r w:rsidRPr="004B6D9F">
        <w:rPr>
          <w:rFonts w:ascii="Times New Roman" w:hAnsi="Times New Roman" w:cs="Times New Roman"/>
          <w:b/>
          <w:bCs/>
          <w:sz w:val="24"/>
          <w:szCs w:val="24"/>
        </w:rPr>
        <w:t>Status</w:t>
      </w:r>
      <w:r w:rsidR="006A72CF" w:rsidRPr="004B6D9F">
        <w:rPr>
          <w:rFonts w:ascii="Times New Roman" w:hAnsi="Times New Roman" w:cs="Times New Roman"/>
          <w:b/>
          <w:bCs/>
          <w:sz w:val="24"/>
          <w:szCs w:val="24"/>
        </w:rPr>
        <w:t xml:space="preserve"> of Docket 3741 (variance)</w:t>
      </w:r>
      <w:r w:rsidRPr="004B6D9F">
        <w:rPr>
          <w:rFonts w:ascii="Times New Roman" w:hAnsi="Times New Roman" w:cs="Times New Roman"/>
          <w:b/>
          <w:bCs/>
          <w:sz w:val="24"/>
          <w:szCs w:val="24"/>
        </w:rPr>
        <w:t xml:space="preserve">: </w:t>
      </w:r>
      <w:r w:rsidR="006A72CF" w:rsidRPr="004B6D9F">
        <w:rPr>
          <w:rFonts w:ascii="Times New Roman" w:hAnsi="Times New Roman" w:cs="Times New Roman"/>
          <w:sz w:val="24"/>
          <w:szCs w:val="24"/>
        </w:rPr>
        <w:t>Application for Regular Variance filed by Applicant on May 3, 2023; Application for (additional) Interim Variance filed by Applicant on June 6, 2023 (explanation letter filed on June 7, 2023); Notice of Hearings filed on June 7, 2023</w:t>
      </w:r>
      <w:r w:rsidR="008F0820" w:rsidRPr="004B6D9F">
        <w:rPr>
          <w:rFonts w:ascii="Times New Roman" w:hAnsi="Times New Roman" w:cs="Times New Roman"/>
          <w:sz w:val="24"/>
          <w:szCs w:val="24"/>
        </w:rPr>
        <w:t xml:space="preserve"> (hearing date of June 27 for interim variance and August 1, 2023 for regular variance)</w:t>
      </w:r>
      <w:r w:rsidR="006A72CF" w:rsidRPr="004B6D9F">
        <w:rPr>
          <w:rFonts w:ascii="Times New Roman" w:hAnsi="Times New Roman" w:cs="Times New Roman"/>
          <w:sz w:val="24"/>
          <w:szCs w:val="24"/>
        </w:rPr>
        <w:t xml:space="preserve">; Request to Withdraw Interim Variance Application (by Applicant) and subsequent </w:t>
      </w:r>
      <w:r w:rsidR="006A72CF" w:rsidRPr="004B6D9F">
        <w:rPr>
          <w:rFonts w:ascii="Times New Roman" w:hAnsi="Times New Roman" w:cs="Times New Roman"/>
          <w:sz w:val="24"/>
          <w:szCs w:val="24"/>
          <w:u w:val="single"/>
        </w:rPr>
        <w:t>Order for Dismissal</w:t>
      </w:r>
      <w:r w:rsidR="006A72CF" w:rsidRPr="004B6D9F">
        <w:rPr>
          <w:rFonts w:ascii="Times New Roman" w:hAnsi="Times New Roman" w:cs="Times New Roman"/>
          <w:sz w:val="24"/>
          <w:szCs w:val="24"/>
        </w:rPr>
        <w:t xml:space="preserve"> of Interim Variance Application filed on June 21, 2023; request for continuance of Regular Variance hearing by Applicant filed July 11, 2023; Notice of Continued Hearing filed on July 14, 2023</w:t>
      </w:r>
      <w:r w:rsidR="008F0820" w:rsidRPr="004B6D9F">
        <w:rPr>
          <w:rFonts w:ascii="Times New Roman" w:hAnsi="Times New Roman" w:cs="Times New Roman"/>
          <w:sz w:val="24"/>
          <w:szCs w:val="24"/>
        </w:rPr>
        <w:t xml:space="preserve"> (new hearing date of September 19, 2023)</w:t>
      </w:r>
      <w:r w:rsidR="006A72CF" w:rsidRPr="004B6D9F">
        <w:rPr>
          <w:rFonts w:ascii="Times New Roman" w:hAnsi="Times New Roman" w:cs="Times New Roman"/>
          <w:sz w:val="24"/>
          <w:szCs w:val="24"/>
        </w:rPr>
        <w:t xml:space="preserve">; </w:t>
      </w:r>
      <w:r w:rsidR="00D722C6" w:rsidRPr="004B6D9F">
        <w:rPr>
          <w:rFonts w:ascii="Times New Roman" w:hAnsi="Times New Roman" w:cs="Times New Roman"/>
          <w:sz w:val="24"/>
          <w:szCs w:val="24"/>
        </w:rPr>
        <w:t xml:space="preserve">joint </w:t>
      </w:r>
      <w:r w:rsidR="006A72CF" w:rsidRPr="004B6D9F">
        <w:rPr>
          <w:rFonts w:ascii="Times New Roman" w:hAnsi="Times New Roman" w:cs="Times New Roman"/>
          <w:sz w:val="24"/>
          <w:szCs w:val="24"/>
        </w:rPr>
        <w:t xml:space="preserve">request for continuance of Regular Variance hearing </w:t>
      </w:r>
      <w:r w:rsidR="00D722C6" w:rsidRPr="004B6D9F">
        <w:rPr>
          <w:rFonts w:ascii="Times New Roman" w:hAnsi="Times New Roman" w:cs="Times New Roman"/>
          <w:sz w:val="24"/>
          <w:szCs w:val="24"/>
        </w:rPr>
        <w:t xml:space="preserve">submitted </w:t>
      </w:r>
      <w:r w:rsidR="006A72CF" w:rsidRPr="004B6D9F">
        <w:rPr>
          <w:rFonts w:ascii="Times New Roman" w:hAnsi="Times New Roman" w:cs="Times New Roman"/>
          <w:sz w:val="24"/>
          <w:szCs w:val="24"/>
        </w:rPr>
        <w:t>August 28, 2023; Notice of Continued Hearing filed on August 30, 2023</w:t>
      </w:r>
      <w:r w:rsidR="008F0820" w:rsidRPr="004B6D9F">
        <w:rPr>
          <w:rFonts w:ascii="Times New Roman" w:hAnsi="Times New Roman" w:cs="Times New Roman"/>
          <w:sz w:val="24"/>
          <w:szCs w:val="24"/>
        </w:rPr>
        <w:t xml:space="preserve"> (new hearing date of November 7, 2023); </w:t>
      </w:r>
      <w:r w:rsidR="00D722C6" w:rsidRPr="004B6D9F">
        <w:rPr>
          <w:rFonts w:ascii="Times New Roman" w:hAnsi="Times New Roman" w:cs="Times New Roman"/>
          <w:sz w:val="24"/>
          <w:szCs w:val="24"/>
        </w:rPr>
        <w:t>joint request for continuance of Regular Variance hearing submitted October 18, 2023; Notice of Continued Hearing filed on October 23, 2023 (new hearing date of December 5, 2023)</w:t>
      </w:r>
      <w:r w:rsidR="008E134A" w:rsidRPr="004B6D9F">
        <w:rPr>
          <w:rFonts w:ascii="Times New Roman" w:hAnsi="Times New Roman" w:cs="Times New Roman"/>
          <w:sz w:val="24"/>
          <w:szCs w:val="24"/>
        </w:rPr>
        <w:t>; Applicant filed Opening Brief and Motion to Permit Amendment to Variance Application on November 30 2023 (Hearing Board Chair granted this request</w:t>
      </w:r>
      <w:r w:rsidR="00C82D55" w:rsidRPr="004B6D9F">
        <w:rPr>
          <w:rFonts w:ascii="Times New Roman" w:hAnsi="Times New Roman" w:cs="Times New Roman"/>
          <w:sz w:val="24"/>
          <w:szCs w:val="24"/>
        </w:rPr>
        <w:t xml:space="preserve">); Air District submitted Opposition to Regular Variance on January 20, 2024 (rejected by Hearing Board); Applicant submitted </w:t>
      </w:r>
      <w:r w:rsidR="0046686D" w:rsidRPr="004B6D9F">
        <w:rPr>
          <w:rFonts w:ascii="Times New Roman" w:hAnsi="Times New Roman" w:cs="Times New Roman"/>
          <w:sz w:val="24"/>
          <w:szCs w:val="24"/>
        </w:rPr>
        <w:t>Objection to Air District’s Opposition to Regular Variance and Request to Strike from the Record</w:t>
      </w:r>
      <w:r w:rsidR="0046686D" w:rsidRPr="004B6D9F">
        <w:rPr>
          <w:rFonts w:ascii="Times New Roman" w:hAnsi="Times New Roman" w:cs="Times New Roman"/>
          <w:b/>
          <w:bCs/>
          <w:sz w:val="24"/>
          <w:szCs w:val="24"/>
        </w:rPr>
        <w:t xml:space="preserve"> </w:t>
      </w:r>
      <w:r w:rsidR="00C82D55" w:rsidRPr="004B6D9F">
        <w:rPr>
          <w:rFonts w:ascii="Times New Roman" w:hAnsi="Times New Roman" w:cs="Times New Roman"/>
          <w:sz w:val="24"/>
          <w:szCs w:val="24"/>
        </w:rPr>
        <w:t>on January 21, 2024 (rejected by Hearing Board)</w:t>
      </w:r>
      <w:r w:rsidR="005A5E18" w:rsidRPr="004B6D9F">
        <w:rPr>
          <w:rFonts w:ascii="Times New Roman" w:hAnsi="Times New Roman" w:cs="Times New Roman"/>
          <w:sz w:val="24"/>
          <w:szCs w:val="24"/>
        </w:rPr>
        <w:t>; Air District submitted Opposition to Motion to Strike from the Record on January 22, 2024 (rejected by Hearing Board); first day of hearing held on January 23, 2024; Notice of Continued Hearing (additional date of February 6, 2024) filed and issued on January 25, 2024; second (and final) day of hearing held February 6, 2024; Order Denying Regular Variance filed February 16, 2024.</w:t>
      </w:r>
    </w:p>
    <w:p w14:paraId="308E2CBA" w14:textId="77777777" w:rsidR="005A5E18" w:rsidRPr="004B6D9F" w:rsidRDefault="005A5E18" w:rsidP="0046686D">
      <w:pPr>
        <w:pStyle w:val="Default"/>
        <w:spacing w:line="240" w:lineRule="auto"/>
        <w:jc w:val="both"/>
        <w:rPr>
          <w:rFonts w:ascii="Times New Roman" w:hAnsi="Times New Roman" w:cs="Times New Roman"/>
          <w:sz w:val="24"/>
          <w:szCs w:val="24"/>
        </w:rPr>
      </w:pPr>
    </w:p>
    <w:p w14:paraId="1A495367" w14:textId="14C90F95" w:rsidR="005A5E18" w:rsidRPr="004B6D9F" w:rsidRDefault="005A5E18" w:rsidP="0046686D">
      <w:pPr>
        <w:pStyle w:val="Default"/>
        <w:spacing w:line="240" w:lineRule="auto"/>
        <w:jc w:val="both"/>
        <w:rPr>
          <w:rFonts w:ascii="Times New Roman" w:hAnsi="Times New Roman" w:cs="Times New Roman"/>
          <w:b/>
          <w:bCs/>
          <w:i/>
          <w:iCs/>
          <w:sz w:val="24"/>
          <w:szCs w:val="24"/>
        </w:rPr>
      </w:pPr>
      <w:r w:rsidRPr="004B6D9F">
        <w:rPr>
          <w:rFonts w:ascii="Times New Roman" w:hAnsi="Times New Roman" w:cs="Times New Roman"/>
          <w:b/>
          <w:bCs/>
          <w:i/>
          <w:iCs/>
          <w:sz w:val="24"/>
          <w:szCs w:val="24"/>
        </w:rPr>
        <w:t>HEARING BOARD ORDERED:</w:t>
      </w:r>
    </w:p>
    <w:p w14:paraId="15ED8785" w14:textId="77777777" w:rsidR="005A5E18" w:rsidRPr="004B6D9F" w:rsidRDefault="005A5E18" w:rsidP="0046686D">
      <w:pPr>
        <w:pStyle w:val="Default"/>
        <w:spacing w:line="240" w:lineRule="auto"/>
        <w:jc w:val="both"/>
        <w:rPr>
          <w:rFonts w:ascii="Times New Roman" w:hAnsi="Times New Roman" w:cs="Times New Roman"/>
          <w:b/>
          <w:bCs/>
          <w:i/>
          <w:iCs/>
          <w:sz w:val="24"/>
          <w:szCs w:val="24"/>
        </w:rPr>
      </w:pPr>
    </w:p>
    <w:p w14:paraId="4915E0F6" w14:textId="77777777" w:rsidR="00E81746" w:rsidRPr="004B6D9F" w:rsidRDefault="00E81746" w:rsidP="00E81746">
      <w:pPr>
        <w:autoSpaceDE w:val="0"/>
        <w:autoSpaceDN w:val="0"/>
        <w:adjustRightInd w:val="0"/>
        <w:jc w:val="both"/>
        <w:rPr>
          <w:i/>
          <w:iCs/>
          <w:sz w:val="24"/>
          <w:szCs w:val="24"/>
        </w:rPr>
      </w:pPr>
      <w:r w:rsidRPr="004B6D9F">
        <w:rPr>
          <w:i/>
          <w:iCs/>
          <w:sz w:val="24"/>
          <w:szCs w:val="24"/>
        </w:rPr>
        <w:t>Based on the record before it, the HEARING BOARD does not find that Applicant has established that the relevant conditions are beyond Applicant's reasonable control, as required by Health and Safety Code Section 42352, subdivision (a)(2). The Application for Regular Variance, as amended, from the provisions BAAQMD Regulation 8, Rule 34, Sections 113.2 and 301.1, PTO Condition 1826, Part 3, and/or for approval to operate the GCCS less than continuously pursuant to BAAQMD Regulation 8, Rule 34, Section 404, is hereby DENIED.</w:t>
      </w:r>
    </w:p>
    <w:p w14:paraId="5CB5D65C" w14:textId="77777777" w:rsidR="006A72CF" w:rsidRPr="004B6D9F" w:rsidRDefault="006A72CF" w:rsidP="008D55AC">
      <w:pPr>
        <w:jc w:val="both"/>
        <w:rPr>
          <w:sz w:val="24"/>
          <w:szCs w:val="24"/>
          <w:u w:val="single"/>
        </w:rPr>
      </w:pPr>
    </w:p>
    <w:p w14:paraId="1BEFB68F" w14:textId="5BD5732B" w:rsidR="006A72CF" w:rsidRPr="004B6D9F" w:rsidRDefault="006A72CF" w:rsidP="008D55AC">
      <w:pPr>
        <w:jc w:val="both"/>
        <w:rPr>
          <w:sz w:val="24"/>
          <w:szCs w:val="24"/>
        </w:rPr>
      </w:pPr>
      <w:r w:rsidRPr="004B6D9F">
        <w:rPr>
          <w:b/>
          <w:bCs/>
          <w:sz w:val="24"/>
          <w:szCs w:val="24"/>
        </w:rPr>
        <w:t xml:space="preserve">Status of Docket 3747 (accusation): </w:t>
      </w:r>
      <w:r w:rsidR="00D722C6" w:rsidRPr="004B6D9F">
        <w:rPr>
          <w:sz w:val="24"/>
          <w:szCs w:val="24"/>
        </w:rPr>
        <w:t xml:space="preserve">Accusation filed by Complainant on </w:t>
      </w:r>
      <w:r w:rsidR="00625331" w:rsidRPr="004B6D9F">
        <w:rPr>
          <w:sz w:val="24"/>
          <w:szCs w:val="24"/>
        </w:rPr>
        <w:t>November 14</w:t>
      </w:r>
      <w:r w:rsidR="00D722C6" w:rsidRPr="004B6D9F">
        <w:rPr>
          <w:sz w:val="24"/>
          <w:szCs w:val="24"/>
        </w:rPr>
        <w:t>, 2023; Notice of Hearing (</w:t>
      </w:r>
      <w:r w:rsidR="006C6FA5" w:rsidRPr="004B6D9F">
        <w:rPr>
          <w:sz w:val="24"/>
          <w:szCs w:val="24"/>
        </w:rPr>
        <w:t xml:space="preserve">combining </w:t>
      </w:r>
      <w:r w:rsidR="00625331" w:rsidRPr="004B6D9F">
        <w:rPr>
          <w:sz w:val="24"/>
          <w:szCs w:val="24"/>
        </w:rPr>
        <w:t>Dockets 3741 &amp; 3747 on same day of December 5,</w:t>
      </w:r>
      <w:r w:rsidR="00D722C6" w:rsidRPr="004B6D9F">
        <w:rPr>
          <w:sz w:val="24"/>
          <w:szCs w:val="24"/>
        </w:rPr>
        <w:t xml:space="preserve"> 202</w:t>
      </w:r>
      <w:r w:rsidR="00625331" w:rsidRPr="004B6D9F">
        <w:rPr>
          <w:sz w:val="24"/>
          <w:szCs w:val="24"/>
        </w:rPr>
        <w:t>3</w:t>
      </w:r>
      <w:r w:rsidR="00D722C6" w:rsidRPr="004B6D9F">
        <w:rPr>
          <w:sz w:val="24"/>
          <w:szCs w:val="24"/>
        </w:rPr>
        <w:t xml:space="preserve">) filed and issued on </w:t>
      </w:r>
      <w:r w:rsidR="006C6FA5" w:rsidRPr="004B6D9F">
        <w:rPr>
          <w:sz w:val="24"/>
          <w:szCs w:val="24"/>
        </w:rPr>
        <w:t>November 27, 2023; request for continuance of combined Regular variance and accusation hearings submitted by Applicant</w:t>
      </w:r>
      <w:r w:rsidR="008E134A" w:rsidRPr="004B6D9F">
        <w:rPr>
          <w:sz w:val="24"/>
          <w:szCs w:val="24"/>
        </w:rPr>
        <w:t xml:space="preserve"> (within Applicant’s Notice of Defense)</w:t>
      </w:r>
      <w:r w:rsidR="006C6FA5" w:rsidRPr="004B6D9F">
        <w:rPr>
          <w:sz w:val="24"/>
          <w:szCs w:val="24"/>
        </w:rPr>
        <w:t xml:space="preserve"> on November 28, 2023; </w:t>
      </w:r>
      <w:r w:rsidR="008E134A" w:rsidRPr="004B6D9F">
        <w:rPr>
          <w:sz w:val="24"/>
          <w:szCs w:val="24"/>
        </w:rPr>
        <w:t xml:space="preserve">Complainant filed Response to the Applicant’s Notice of Defense on November 29, 2023; </w:t>
      </w:r>
      <w:r w:rsidR="006C6FA5" w:rsidRPr="004B6D9F">
        <w:rPr>
          <w:sz w:val="24"/>
          <w:szCs w:val="24"/>
        </w:rPr>
        <w:t xml:space="preserve">Notice of Continued Hearing (combining Dockets 3741 &amp; 3747 on same day new date of January 23, 2024) filed and issued on November 30, 2023; </w:t>
      </w:r>
      <w:r w:rsidR="00C82D55" w:rsidRPr="004B6D9F">
        <w:rPr>
          <w:sz w:val="24"/>
          <w:szCs w:val="24"/>
        </w:rPr>
        <w:t xml:space="preserve">Complainant submitted [Proposed] Findings and Decision for an Order of Abatement on January 19, 2024 (rejected by Hearing Board); </w:t>
      </w:r>
      <w:r w:rsidR="006C6FA5" w:rsidRPr="004B6D9F">
        <w:rPr>
          <w:sz w:val="24"/>
          <w:szCs w:val="24"/>
        </w:rPr>
        <w:t>first day of hearing held on January 23, 2024; Notice of Continued Hearing (additional date of February 6, 2024) filed and issued on January 25, 2024; second</w:t>
      </w:r>
      <w:r w:rsidR="008E134A" w:rsidRPr="004B6D9F">
        <w:rPr>
          <w:sz w:val="24"/>
          <w:szCs w:val="24"/>
        </w:rPr>
        <w:t xml:space="preserve"> (and final)</w:t>
      </w:r>
      <w:r w:rsidR="006C6FA5" w:rsidRPr="004B6D9F">
        <w:rPr>
          <w:sz w:val="24"/>
          <w:szCs w:val="24"/>
        </w:rPr>
        <w:t xml:space="preserve"> day of hearing held February 6, 2024</w:t>
      </w:r>
      <w:r w:rsidR="005A5E18" w:rsidRPr="004B6D9F">
        <w:rPr>
          <w:sz w:val="24"/>
          <w:szCs w:val="24"/>
        </w:rPr>
        <w:t xml:space="preserve">; Findings and Decision for </w:t>
      </w:r>
      <w:r w:rsidR="007322AA" w:rsidRPr="004B6D9F">
        <w:rPr>
          <w:sz w:val="24"/>
          <w:szCs w:val="24"/>
        </w:rPr>
        <w:t xml:space="preserve">Conditional </w:t>
      </w:r>
      <w:r w:rsidR="005A5E18" w:rsidRPr="004B6D9F">
        <w:rPr>
          <w:sz w:val="24"/>
          <w:szCs w:val="24"/>
        </w:rPr>
        <w:t>Order of Abatement filed February 16, 2024</w:t>
      </w:r>
    </w:p>
    <w:p w14:paraId="69E56335" w14:textId="77777777" w:rsidR="0013746B" w:rsidRPr="004B6D9F" w:rsidRDefault="0013746B" w:rsidP="0013746B">
      <w:pPr>
        <w:jc w:val="both"/>
        <w:rPr>
          <w:sz w:val="24"/>
          <w:szCs w:val="24"/>
        </w:rPr>
      </w:pPr>
      <w:r w:rsidRPr="004B6D9F">
        <w:rPr>
          <w:b/>
          <w:bCs/>
          <w:sz w:val="24"/>
          <w:szCs w:val="24"/>
        </w:rPr>
        <w:lastRenderedPageBreak/>
        <w:t>Fees collected this quarter:</w:t>
      </w:r>
      <w:r w:rsidRPr="004B6D9F">
        <w:rPr>
          <w:sz w:val="24"/>
          <w:szCs w:val="24"/>
        </w:rPr>
        <w:t xml:space="preserve"> N/A</w:t>
      </w:r>
    </w:p>
    <w:p w14:paraId="669B25BD" w14:textId="77777777" w:rsidR="0013746B" w:rsidRPr="004B6D9F" w:rsidRDefault="0013746B" w:rsidP="0013746B">
      <w:pPr>
        <w:jc w:val="both"/>
        <w:rPr>
          <w:sz w:val="24"/>
          <w:szCs w:val="24"/>
        </w:rPr>
      </w:pPr>
    </w:p>
    <w:p w14:paraId="745FDDD5" w14:textId="25DF11C2" w:rsidR="00E81746" w:rsidRPr="004B6D9F" w:rsidRDefault="00E81746" w:rsidP="008D55AC">
      <w:pPr>
        <w:jc w:val="both"/>
        <w:rPr>
          <w:b/>
          <w:bCs/>
          <w:i/>
          <w:iCs/>
          <w:sz w:val="24"/>
          <w:szCs w:val="24"/>
        </w:rPr>
      </w:pPr>
      <w:r w:rsidRPr="004B6D9F">
        <w:rPr>
          <w:b/>
          <w:bCs/>
          <w:i/>
          <w:iCs/>
          <w:sz w:val="24"/>
          <w:szCs w:val="24"/>
        </w:rPr>
        <w:t>HEARING BOARD ORDERED:</w:t>
      </w:r>
    </w:p>
    <w:p w14:paraId="3DE1E7BD" w14:textId="77777777" w:rsidR="00E81746" w:rsidRPr="004B6D9F" w:rsidRDefault="00E81746" w:rsidP="008D55AC">
      <w:pPr>
        <w:jc w:val="both"/>
        <w:rPr>
          <w:sz w:val="24"/>
          <w:szCs w:val="24"/>
        </w:rPr>
      </w:pPr>
    </w:p>
    <w:p w14:paraId="5DF787E3" w14:textId="0223239E" w:rsidR="00EA636A" w:rsidRPr="004B6D9F" w:rsidRDefault="00EA636A" w:rsidP="00EA636A">
      <w:pPr>
        <w:autoSpaceDE w:val="0"/>
        <w:autoSpaceDN w:val="0"/>
        <w:adjustRightInd w:val="0"/>
        <w:jc w:val="both"/>
        <w:rPr>
          <w:i/>
          <w:iCs/>
        </w:rPr>
      </w:pPr>
      <w:r w:rsidRPr="004B6D9F">
        <w:rPr>
          <w:i/>
          <w:iCs/>
          <w:sz w:val="24"/>
          <w:szCs w:val="24"/>
        </w:rPr>
        <w:t xml:space="preserve">Respondent to immediately cease and desist from operating Respondent's closed Landfill in a manner that violates Air District Reg. 8-34-301. l or that violates the Landfill's P/C 1826, which require both the continuous operation of its landfill gas (LFG) collection system, consisting of 42 vertical wells, 2 horizontal collectors, 14 trench collectors, and the proper maintenance of and continuous operation of Flare A-4 combusting the collected LFG at a temperature of at least 1,400 degrees Fahrenheit, unless and until the Air District determines compliance action conditions and increments of progress </w:t>
      </w:r>
      <w:r w:rsidR="007322AA" w:rsidRPr="004B6D9F">
        <w:rPr>
          <w:i/>
          <w:iCs/>
          <w:sz w:val="24"/>
          <w:szCs w:val="24"/>
        </w:rPr>
        <w:t xml:space="preserve">as set forth in </w:t>
      </w:r>
      <w:r w:rsidRPr="004B6D9F">
        <w:rPr>
          <w:i/>
          <w:iCs/>
          <w:sz w:val="24"/>
          <w:szCs w:val="24"/>
        </w:rPr>
        <w:t xml:space="preserve">11 </w:t>
      </w:r>
      <w:r w:rsidR="007322AA" w:rsidRPr="004B6D9F">
        <w:rPr>
          <w:i/>
          <w:iCs/>
          <w:sz w:val="24"/>
          <w:szCs w:val="24"/>
        </w:rPr>
        <w:t xml:space="preserve">conditions </w:t>
      </w:r>
      <w:r w:rsidRPr="004B6D9F">
        <w:rPr>
          <w:i/>
          <w:iCs/>
          <w:sz w:val="24"/>
          <w:szCs w:val="24"/>
        </w:rPr>
        <w:t>have been met.</w:t>
      </w:r>
      <w:r w:rsidR="007322AA" w:rsidRPr="004B6D9F">
        <w:rPr>
          <w:i/>
          <w:iCs/>
          <w:sz w:val="24"/>
          <w:szCs w:val="24"/>
        </w:rPr>
        <w:t xml:space="preserve"> (Detailed order is available on Hearing Board webpage.)</w:t>
      </w:r>
    </w:p>
    <w:p w14:paraId="3C53ACF4" w14:textId="77777777" w:rsidR="002E619F" w:rsidRPr="004B6D9F" w:rsidRDefault="002E619F" w:rsidP="002E619F">
      <w:pPr>
        <w:pBdr>
          <w:bottom w:val="single" w:sz="6" w:space="1" w:color="auto"/>
        </w:pBdr>
        <w:jc w:val="both"/>
        <w:rPr>
          <w:sz w:val="24"/>
          <w:szCs w:val="24"/>
        </w:rPr>
      </w:pPr>
    </w:p>
    <w:p w14:paraId="7D3B85C1" w14:textId="77777777" w:rsidR="008D55AC" w:rsidRPr="004B6D9F" w:rsidRDefault="008D55AC" w:rsidP="008D55AC">
      <w:pPr>
        <w:jc w:val="both"/>
        <w:rPr>
          <w:color w:val="FF0000"/>
          <w:sz w:val="24"/>
          <w:szCs w:val="24"/>
        </w:rPr>
      </w:pPr>
    </w:p>
    <w:p w14:paraId="2DC18A0A" w14:textId="1BF6FDF0" w:rsidR="00BE46DB" w:rsidRPr="004B6D9F" w:rsidRDefault="00BE46DB" w:rsidP="00BE46DB">
      <w:pPr>
        <w:jc w:val="both"/>
        <w:rPr>
          <w:b/>
          <w:bCs/>
          <w:sz w:val="24"/>
          <w:szCs w:val="24"/>
          <w:u w:val="single"/>
        </w:rPr>
      </w:pPr>
      <w:r w:rsidRPr="004B6D9F">
        <w:rPr>
          <w:b/>
          <w:bCs/>
          <w:sz w:val="24"/>
          <w:szCs w:val="24"/>
          <w:u w:val="single"/>
        </w:rPr>
        <w:t xml:space="preserve">Docket: 3750 – </w:t>
      </w:r>
      <w:r w:rsidR="001C6C1E" w:rsidRPr="004B6D9F">
        <w:rPr>
          <w:b/>
          <w:bCs/>
          <w:sz w:val="24"/>
          <w:szCs w:val="24"/>
          <w:u w:val="single"/>
        </w:rPr>
        <w:t xml:space="preserve">FERMA Corporation </w:t>
      </w:r>
      <w:r w:rsidRPr="004B6D9F">
        <w:rPr>
          <w:b/>
          <w:bCs/>
          <w:sz w:val="24"/>
          <w:szCs w:val="24"/>
          <w:u w:val="single"/>
        </w:rPr>
        <w:t xml:space="preserve">– Request for </w:t>
      </w:r>
      <w:r w:rsidR="001C6C1E" w:rsidRPr="004B6D9F">
        <w:rPr>
          <w:b/>
          <w:bCs/>
          <w:sz w:val="24"/>
          <w:szCs w:val="24"/>
          <w:u w:val="single"/>
        </w:rPr>
        <w:t>Regular</w:t>
      </w:r>
      <w:r w:rsidRPr="004B6D9F">
        <w:rPr>
          <w:b/>
          <w:bCs/>
          <w:sz w:val="24"/>
          <w:szCs w:val="24"/>
          <w:u w:val="single"/>
        </w:rPr>
        <w:t xml:space="preserve"> Variance</w:t>
      </w:r>
      <w:r w:rsidRPr="004B6D9F">
        <w:rPr>
          <w:b/>
          <w:bCs/>
          <w:sz w:val="24"/>
          <w:szCs w:val="24"/>
        </w:rPr>
        <w:t xml:space="preserve"> </w:t>
      </w:r>
      <w:r w:rsidR="00D33381" w:rsidRPr="004B6D9F">
        <w:rPr>
          <w:i/>
          <w:iCs/>
          <w:sz w:val="24"/>
          <w:szCs w:val="24"/>
        </w:rPr>
        <w:t>(Actions pertaining to this docket that extend into February 2024 are captured in this report.)</w:t>
      </w:r>
    </w:p>
    <w:p w14:paraId="74D96DE8" w14:textId="77777777" w:rsidR="00BE46DB" w:rsidRPr="004B6D9F" w:rsidRDefault="00BE46DB" w:rsidP="00BE46DB">
      <w:pPr>
        <w:jc w:val="both"/>
        <w:rPr>
          <w:b/>
          <w:bCs/>
          <w:sz w:val="24"/>
          <w:szCs w:val="24"/>
        </w:rPr>
      </w:pPr>
    </w:p>
    <w:p w14:paraId="545A5A09" w14:textId="5D6D6580" w:rsidR="00BE46DB" w:rsidRPr="004B6D9F" w:rsidRDefault="00BE46DB" w:rsidP="00BE46DB">
      <w:pPr>
        <w:jc w:val="both"/>
        <w:rPr>
          <w:sz w:val="24"/>
          <w:szCs w:val="24"/>
        </w:rPr>
      </w:pPr>
      <w:r w:rsidRPr="004B6D9F">
        <w:rPr>
          <w:b/>
          <w:bCs/>
          <w:sz w:val="24"/>
          <w:szCs w:val="24"/>
        </w:rPr>
        <w:t>Location:</w:t>
      </w:r>
      <w:r w:rsidRPr="004B6D9F">
        <w:rPr>
          <w:sz w:val="24"/>
          <w:szCs w:val="24"/>
        </w:rPr>
        <w:t xml:space="preserve"> Sa</w:t>
      </w:r>
      <w:r w:rsidR="001314E5" w:rsidRPr="004B6D9F">
        <w:rPr>
          <w:sz w:val="24"/>
          <w:szCs w:val="24"/>
        </w:rPr>
        <w:t>nta Clara</w:t>
      </w:r>
      <w:r w:rsidRPr="004B6D9F">
        <w:rPr>
          <w:sz w:val="24"/>
          <w:szCs w:val="24"/>
        </w:rPr>
        <w:t xml:space="preserve"> </w:t>
      </w:r>
      <w:smartTag w:uri="urn:schemas-microsoft-com:office:smarttags" w:element="date">
        <w:smartTagPr>
          <w:attr w:name="Month" w:val="5"/>
          <w:attr w:name="Day" w:val="1"/>
          <w:attr w:name="Year" w:val="2011"/>
        </w:smartTagPr>
        <w:r w:rsidRPr="004B6D9F">
          <w:rPr>
            <w:sz w:val="24"/>
            <w:szCs w:val="24"/>
          </w:rPr>
          <w:t>County</w:t>
        </w:r>
      </w:smartTag>
      <w:r w:rsidRPr="004B6D9F">
        <w:rPr>
          <w:sz w:val="24"/>
          <w:szCs w:val="24"/>
        </w:rPr>
        <w:t xml:space="preserve">; </w:t>
      </w:r>
      <w:r w:rsidR="001314E5" w:rsidRPr="004B6D9F">
        <w:rPr>
          <w:sz w:val="24"/>
          <w:szCs w:val="24"/>
        </w:rPr>
        <w:t xml:space="preserve">Moffett Federal Airfield </w:t>
      </w:r>
    </w:p>
    <w:p w14:paraId="293CF5BF" w14:textId="77777777" w:rsidR="00BE46DB" w:rsidRPr="004B6D9F" w:rsidRDefault="00BE46DB" w:rsidP="00BE46DB">
      <w:pPr>
        <w:jc w:val="both"/>
        <w:rPr>
          <w:sz w:val="24"/>
          <w:szCs w:val="24"/>
        </w:rPr>
      </w:pPr>
    </w:p>
    <w:p w14:paraId="22AC5823" w14:textId="7E1D3E99" w:rsidR="00BE46DB" w:rsidRPr="004B6D9F" w:rsidRDefault="00BE46DB" w:rsidP="00BE46DB">
      <w:pPr>
        <w:jc w:val="both"/>
        <w:rPr>
          <w:sz w:val="24"/>
          <w:szCs w:val="24"/>
        </w:rPr>
      </w:pPr>
      <w:r w:rsidRPr="004B6D9F">
        <w:rPr>
          <w:b/>
          <w:bCs/>
          <w:sz w:val="24"/>
          <w:szCs w:val="24"/>
        </w:rPr>
        <w:t>Regulation(s):</w:t>
      </w:r>
      <w:r w:rsidRPr="004B6D9F">
        <w:rPr>
          <w:sz w:val="24"/>
          <w:szCs w:val="24"/>
        </w:rPr>
        <w:t xml:space="preserve"> Regulation </w:t>
      </w:r>
      <w:r w:rsidR="001314E5" w:rsidRPr="004B6D9F">
        <w:rPr>
          <w:sz w:val="24"/>
          <w:szCs w:val="24"/>
        </w:rPr>
        <w:t>11</w:t>
      </w:r>
      <w:r w:rsidRPr="004B6D9F">
        <w:rPr>
          <w:sz w:val="24"/>
          <w:szCs w:val="24"/>
        </w:rPr>
        <w:t xml:space="preserve"> Rule </w:t>
      </w:r>
      <w:r w:rsidR="001314E5" w:rsidRPr="004B6D9F">
        <w:rPr>
          <w:sz w:val="24"/>
          <w:szCs w:val="24"/>
        </w:rPr>
        <w:t>2</w:t>
      </w:r>
      <w:r w:rsidRPr="004B6D9F">
        <w:rPr>
          <w:sz w:val="24"/>
          <w:szCs w:val="24"/>
        </w:rPr>
        <w:t xml:space="preserve"> (</w:t>
      </w:r>
      <w:r w:rsidR="001314E5" w:rsidRPr="004B6D9F">
        <w:rPr>
          <w:sz w:val="24"/>
          <w:szCs w:val="24"/>
        </w:rPr>
        <w:t xml:space="preserve">Hazardous Pollutants, Asbestos demolition, Renovation, and Manufacturing) </w:t>
      </w:r>
    </w:p>
    <w:p w14:paraId="48BDEF96" w14:textId="77777777" w:rsidR="00BE46DB" w:rsidRPr="004B6D9F" w:rsidRDefault="00BE46DB" w:rsidP="00BE46DB">
      <w:pPr>
        <w:jc w:val="both"/>
        <w:rPr>
          <w:sz w:val="24"/>
          <w:szCs w:val="24"/>
        </w:rPr>
      </w:pPr>
    </w:p>
    <w:p w14:paraId="399D2229" w14:textId="5F99A686" w:rsidR="00BE46DB" w:rsidRPr="004B6D9F" w:rsidRDefault="00BE46DB" w:rsidP="00BE46DB">
      <w:pPr>
        <w:autoSpaceDE w:val="0"/>
        <w:autoSpaceDN w:val="0"/>
        <w:adjustRightInd w:val="0"/>
        <w:jc w:val="both"/>
        <w:rPr>
          <w:sz w:val="24"/>
          <w:szCs w:val="24"/>
        </w:rPr>
      </w:pPr>
      <w:r w:rsidRPr="004B6D9F">
        <w:rPr>
          <w:b/>
          <w:bCs/>
          <w:sz w:val="24"/>
          <w:szCs w:val="24"/>
        </w:rPr>
        <w:t>Synopsis:</w:t>
      </w:r>
      <w:r w:rsidRPr="004B6D9F">
        <w:rPr>
          <w:sz w:val="24"/>
          <w:szCs w:val="24"/>
        </w:rPr>
        <w:t xml:space="preserve"> </w:t>
      </w:r>
      <w:r w:rsidR="00106E6B" w:rsidRPr="004B6D9F">
        <w:rPr>
          <w:sz w:val="24"/>
          <w:szCs w:val="24"/>
        </w:rPr>
        <w:t>The roof of a</w:t>
      </w:r>
      <w:r w:rsidR="001C6C1E" w:rsidRPr="004B6D9F">
        <w:rPr>
          <w:sz w:val="24"/>
          <w:szCs w:val="24"/>
        </w:rPr>
        <w:t xml:space="preserve"> </w:t>
      </w:r>
      <w:r w:rsidR="00106E6B" w:rsidRPr="004B6D9F">
        <w:rPr>
          <w:sz w:val="24"/>
          <w:szCs w:val="24"/>
        </w:rPr>
        <w:t>200-foot-tall</w:t>
      </w:r>
      <w:r w:rsidR="001C6C1E" w:rsidRPr="004B6D9F">
        <w:rPr>
          <w:sz w:val="24"/>
          <w:szCs w:val="24"/>
        </w:rPr>
        <w:t xml:space="preserve"> blimp hangar </w:t>
      </w:r>
      <w:r w:rsidR="00106E6B" w:rsidRPr="004B6D9F">
        <w:rPr>
          <w:sz w:val="24"/>
          <w:szCs w:val="24"/>
        </w:rPr>
        <w:t>contains</w:t>
      </w:r>
      <w:r w:rsidR="001C6C1E" w:rsidRPr="004B6D9F">
        <w:rPr>
          <w:sz w:val="24"/>
          <w:szCs w:val="24"/>
        </w:rPr>
        <w:t xml:space="preserve"> non-friable asbestos felt paper</w:t>
      </w:r>
      <w:r w:rsidR="00106E6B" w:rsidRPr="004B6D9F">
        <w:rPr>
          <w:sz w:val="24"/>
          <w:szCs w:val="24"/>
        </w:rPr>
        <w:t>, and</w:t>
      </w:r>
      <w:r w:rsidR="001C6C1E" w:rsidRPr="004B6D9F">
        <w:rPr>
          <w:sz w:val="24"/>
          <w:szCs w:val="24"/>
        </w:rPr>
        <w:t xml:space="preserve"> is in need of demolition to eliminate the risk of building collapse. </w:t>
      </w:r>
    </w:p>
    <w:p w14:paraId="5C346279" w14:textId="77777777" w:rsidR="00BE46DB" w:rsidRPr="004B6D9F" w:rsidRDefault="00BE46DB" w:rsidP="00BE46DB">
      <w:pPr>
        <w:autoSpaceDE w:val="0"/>
        <w:autoSpaceDN w:val="0"/>
        <w:adjustRightInd w:val="0"/>
        <w:jc w:val="both"/>
        <w:rPr>
          <w:sz w:val="24"/>
          <w:szCs w:val="24"/>
        </w:rPr>
      </w:pPr>
    </w:p>
    <w:p w14:paraId="60B2A528" w14:textId="77777777" w:rsidR="00BE46DB" w:rsidRPr="004B6D9F" w:rsidRDefault="00BE46DB" w:rsidP="00BE46DB">
      <w:pPr>
        <w:autoSpaceDE w:val="0"/>
        <w:autoSpaceDN w:val="0"/>
        <w:adjustRightInd w:val="0"/>
        <w:rPr>
          <w:rFonts w:eastAsia="Calibri"/>
          <w:sz w:val="24"/>
          <w:szCs w:val="24"/>
        </w:rPr>
      </w:pPr>
      <w:r w:rsidRPr="004B6D9F">
        <w:rPr>
          <w:rFonts w:eastAsia="Calibri"/>
          <w:sz w:val="24"/>
          <w:szCs w:val="24"/>
        </w:rPr>
        <w:t>From Applicant:</w:t>
      </w:r>
    </w:p>
    <w:p w14:paraId="4076CA45" w14:textId="77777777" w:rsidR="00BE46DB" w:rsidRPr="004B6D9F" w:rsidRDefault="00BE46DB" w:rsidP="00106E6B">
      <w:pPr>
        <w:autoSpaceDE w:val="0"/>
        <w:autoSpaceDN w:val="0"/>
        <w:adjustRightInd w:val="0"/>
        <w:jc w:val="both"/>
        <w:rPr>
          <w:i/>
          <w:iCs/>
          <w:sz w:val="24"/>
          <w:szCs w:val="24"/>
        </w:rPr>
      </w:pPr>
    </w:p>
    <w:p w14:paraId="1C8640EC" w14:textId="21B0A80B" w:rsidR="00106E6B" w:rsidRPr="004B6D9F" w:rsidRDefault="00106E6B" w:rsidP="00106E6B">
      <w:pPr>
        <w:autoSpaceDE w:val="0"/>
        <w:autoSpaceDN w:val="0"/>
        <w:adjustRightInd w:val="0"/>
        <w:jc w:val="both"/>
        <w:rPr>
          <w:rFonts w:eastAsia="Calibri"/>
          <w:i/>
          <w:iCs/>
          <w:sz w:val="24"/>
          <w:szCs w:val="24"/>
        </w:rPr>
      </w:pPr>
      <w:r w:rsidRPr="004B6D9F">
        <w:rPr>
          <w:rFonts w:eastAsia="Calibri"/>
          <w:i/>
          <w:iCs/>
          <w:sz w:val="24"/>
          <w:szCs w:val="24"/>
        </w:rPr>
        <w:t>Variance being sought for Regulation 11 Chapter 2 Regulation 303.4, for the non-friable ACM felt paper material sandwiched within the roof structure. Specifically</w:t>
      </w:r>
      <w:r w:rsidR="00D33381" w:rsidRPr="004B6D9F">
        <w:rPr>
          <w:rFonts w:eastAsia="Calibri"/>
          <w:i/>
          <w:iCs/>
          <w:sz w:val="24"/>
          <w:szCs w:val="24"/>
        </w:rPr>
        <w:t>,</w:t>
      </w:r>
      <w:r w:rsidRPr="004B6D9F">
        <w:rPr>
          <w:rFonts w:eastAsia="Calibri"/>
          <w:i/>
          <w:iCs/>
          <w:sz w:val="24"/>
          <w:szCs w:val="24"/>
        </w:rPr>
        <w:t xml:space="preserve"> the statement that "such sections if elevated shall be carefully lowered to ground level, where they are to be abated in accordance with subsection 11-2-303.1 and/or 303.2." All other requirements within Regulation 11 Rule 2 will be followed.</w:t>
      </w:r>
    </w:p>
    <w:p w14:paraId="7ABABFD9" w14:textId="77777777" w:rsidR="00106E6B" w:rsidRPr="004B6D9F" w:rsidRDefault="00106E6B" w:rsidP="00106E6B">
      <w:pPr>
        <w:autoSpaceDE w:val="0"/>
        <w:autoSpaceDN w:val="0"/>
        <w:adjustRightInd w:val="0"/>
        <w:jc w:val="both"/>
        <w:rPr>
          <w:rFonts w:eastAsia="Calibri"/>
          <w:i/>
          <w:iCs/>
          <w:sz w:val="24"/>
          <w:szCs w:val="24"/>
        </w:rPr>
      </w:pPr>
    </w:p>
    <w:p w14:paraId="0104CD8D" w14:textId="15561001" w:rsidR="00106E6B" w:rsidRPr="004B6D9F" w:rsidRDefault="00106E6B" w:rsidP="00106E6B">
      <w:pPr>
        <w:autoSpaceDE w:val="0"/>
        <w:autoSpaceDN w:val="0"/>
        <w:adjustRightInd w:val="0"/>
        <w:jc w:val="both"/>
        <w:rPr>
          <w:rFonts w:eastAsia="Calibri"/>
          <w:i/>
          <w:sz w:val="24"/>
          <w:szCs w:val="24"/>
        </w:rPr>
      </w:pPr>
      <w:r w:rsidRPr="004B6D9F">
        <w:rPr>
          <w:rFonts w:eastAsia="Calibri"/>
          <w:i/>
          <w:sz w:val="24"/>
          <w:szCs w:val="24"/>
        </w:rPr>
        <w:t>NASA prepared an Environmental Assessment for this project to support the deconstruction of Hangar 3 to remedy its unsafe condition and eliminate the unacceptable structural hazard it poses. Since Planetary Ventures, LLC commenced leasing the Hangar in 2015, ongoing efforts to</w:t>
      </w:r>
      <w:r w:rsidR="00D33381" w:rsidRPr="004B6D9F">
        <w:rPr>
          <w:rFonts w:eastAsia="Calibri"/>
          <w:i/>
          <w:sz w:val="24"/>
          <w:szCs w:val="24"/>
        </w:rPr>
        <w:t xml:space="preserve"> </w:t>
      </w:r>
      <w:r w:rsidRPr="004B6D9F">
        <w:rPr>
          <w:rFonts w:eastAsia="Calibri"/>
          <w:i/>
          <w:sz w:val="24"/>
          <w:szCs w:val="24"/>
        </w:rPr>
        <w:t xml:space="preserve">rehabilitate Hangar 3 have proven to be ineffective. Significant efforts have been undertaken to repair the damaged trusses yet it was not possible to keep up with the damage progression continuously advancing throughout the structure. While a temporary internal shoring and hydraulic jacking system is in place, the building is currently unsafe for occupancy and vulnerable to further damage and collapse, especially from seismic or high wind load events. The purpose of the project is to remedy this unsafe condition and eliminate an unacceptable structural hazard. </w:t>
      </w:r>
    </w:p>
    <w:p w14:paraId="47B6F5D0" w14:textId="77777777" w:rsidR="00106E6B" w:rsidRPr="004B6D9F" w:rsidRDefault="00106E6B" w:rsidP="00106E6B">
      <w:pPr>
        <w:autoSpaceDE w:val="0"/>
        <w:autoSpaceDN w:val="0"/>
        <w:adjustRightInd w:val="0"/>
        <w:jc w:val="both"/>
        <w:rPr>
          <w:rFonts w:eastAsia="Calibri"/>
          <w:i/>
          <w:sz w:val="24"/>
          <w:szCs w:val="24"/>
        </w:rPr>
      </w:pPr>
    </w:p>
    <w:p w14:paraId="7A0986CD" w14:textId="445DFFEF" w:rsidR="00106E6B" w:rsidRPr="004B6D9F" w:rsidRDefault="00106E6B" w:rsidP="00106E6B">
      <w:pPr>
        <w:autoSpaceDE w:val="0"/>
        <w:autoSpaceDN w:val="0"/>
        <w:adjustRightInd w:val="0"/>
        <w:jc w:val="both"/>
        <w:rPr>
          <w:rFonts w:eastAsia="Calibri"/>
          <w:i/>
          <w:sz w:val="24"/>
          <w:szCs w:val="24"/>
        </w:rPr>
      </w:pPr>
      <w:r w:rsidRPr="004B6D9F">
        <w:rPr>
          <w:rFonts w:eastAsia="Calibri"/>
          <w:i/>
          <w:sz w:val="24"/>
          <w:szCs w:val="24"/>
        </w:rPr>
        <w:t xml:space="preserve">This project eliminates the risk of continued degradation or collapse of hangar 3 under normal or adverse conditions, thereby protecting life and property. Reference the included sections of the environmental assessment - Appendix A.1, A.3 &amp; A.4 prepared by KPFF, the structural engineer of record. Overall, the hangar structure has existed well past its original design life. Varying levels of damage exist to the timber framing. The structure remains unsafe and is very vulnerable to </w:t>
      </w:r>
      <w:r w:rsidRPr="004B6D9F">
        <w:rPr>
          <w:rFonts w:eastAsia="Calibri"/>
          <w:i/>
          <w:sz w:val="24"/>
          <w:szCs w:val="24"/>
        </w:rPr>
        <w:lastRenderedPageBreak/>
        <w:t>further damage or partial collapse while left in its current un-repaired state. Based on structural engineer</w:t>
      </w:r>
      <w:r w:rsidR="00D33381" w:rsidRPr="004B6D9F">
        <w:rPr>
          <w:rFonts w:eastAsia="Calibri"/>
          <w:i/>
          <w:sz w:val="24"/>
          <w:szCs w:val="24"/>
        </w:rPr>
        <w:t>’</w:t>
      </w:r>
      <w:r w:rsidRPr="004B6D9F">
        <w:rPr>
          <w:rFonts w:eastAsia="Calibri"/>
          <w:i/>
          <w:sz w:val="24"/>
          <w:szCs w:val="24"/>
        </w:rPr>
        <w:t>s professional opinion, the hangar is unsafe, should not be occupied and could become a potential site hazard from seismic and/or high wind forces.</w:t>
      </w:r>
      <w:r w:rsidR="00D33381" w:rsidRPr="004B6D9F">
        <w:rPr>
          <w:rFonts w:eastAsia="Calibri"/>
          <w:i/>
          <w:sz w:val="24"/>
          <w:szCs w:val="24"/>
        </w:rPr>
        <w:t xml:space="preserve"> </w:t>
      </w:r>
      <w:r w:rsidRPr="004B6D9F">
        <w:rPr>
          <w:rFonts w:eastAsia="Calibri"/>
          <w:i/>
          <w:sz w:val="24"/>
          <w:szCs w:val="24"/>
        </w:rPr>
        <w:t>Structural investigations indicate that the structure is vulnerable to future collapse. Therefore</w:t>
      </w:r>
      <w:r w:rsidR="00D33381" w:rsidRPr="004B6D9F">
        <w:rPr>
          <w:rFonts w:eastAsia="Calibri"/>
          <w:i/>
          <w:sz w:val="24"/>
          <w:szCs w:val="24"/>
        </w:rPr>
        <w:t>,</w:t>
      </w:r>
      <w:r w:rsidRPr="004B6D9F">
        <w:rPr>
          <w:rFonts w:eastAsia="Calibri"/>
          <w:i/>
          <w:sz w:val="24"/>
          <w:szCs w:val="24"/>
        </w:rPr>
        <w:t xml:space="preserve"> the removal of the asbestos roofing felt paper within</w:t>
      </w:r>
      <w:r w:rsidR="00D33381" w:rsidRPr="004B6D9F">
        <w:rPr>
          <w:rFonts w:eastAsia="Calibri"/>
          <w:i/>
          <w:sz w:val="24"/>
          <w:szCs w:val="24"/>
        </w:rPr>
        <w:t xml:space="preserve"> </w:t>
      </w:r>
      <w:r w:rsidRPr="004B6D9F">
        <w:rPr>
          <w:rFonts w:eastAsia="Calibri"/>
          <w:i/>
          <w:sz w:val="24"/>
          <w:szCs w:val="24"/>
        </w:rPr>
        <w:t>"303.4 Removal in Units" regulation is unachievable. All roofing material will be off-hauled as asbestos containing material.</w:t>
      </w:r>
    </w:p>
    <w:p w14:paraId="264F3436" w14:textId="77777777" w:rsidR="00106E6B" w:rsidRPr="004B6D9F" w:rsidRDefault="00106E6B" w:rsidP="00106E6B">
      <w:pPr>
        <w:autoSpaceDE w:val="0"/>
        <w:autoSpaceDN w:val="0"/>
        <w:adjustRightInd w:val="0"/>
        <w:jc w:val="both"/>
        <w:rPr>
          <w:rFonts w:eastAsia="Calibri"/>
          <w:i/>
          <w:iCs/>
          <w:sz w:val="24"/>
          <w:szCs w:val="24"/>
        </w:rPr>
      </w:pPr>
    </w:p>
    <w:p w14:paraId="5D55A6F2" w14:textId="2403CD5C" w:rsidR="00BE46DB" w:rsidRPr="004B6D9F" w:rsidRDefault="00106E6B" w:rsidP="00106E6B">
      <w:pPr>
        <w:autoSpaceDE w:val="0"/>
        <w:autoSpaceDN w:val="0"/>
        <w:adjustRightInd w:val="0"/>
        <w:jc w:val="both"/>
        <w:rPr>
          <w:rFonts w:eastAsia="Calibri"/>
          <w:i/>
          <w:iCs/>
          <w:sz w:val="24"/>
          <w:szCs w:val="24"/>
        </w:rPr>
      </w:pPr>
      <w:r w:rsidRPr="004B6D9F">
        <w:rPr>
          <w:rFonts w:eastAsia="Calibri"/>
          <w:i/>
          <w:iCs/>
          <w:sz w:val="24"/>
          <w:szCs w:val="24"/>
        </w:rPr>
        <w:t>Removal will be implemented in accordance with the following; Once the area has been secured, the excavator will begin removing the hangar roof structure from the top. The machine will utilize a bucket and thumb along with a processor attachment. There will be a misting machine along with water attachments that are integrated into the excavator and utilized to constantly wet the point of impact to the hangar roof, satisfying subsection 11-2-303.1. The operator will use the attachment to remove pieces of the roof letting them descend to the ground. During this descent there will be an abundance of water saturating the material as it makes its way to the ground. This water will all be contained and collected and run through an above ground treatment system prior to discharge. Once the material is on the ground, in accordance with subsection 11-2-303.4, the roofing material shall be kept adequately wetted at all times during demolition, during handing and during loading,</w:t>
      </w:r>
      <w:r w:rsidR="00140764" w:rsidRPr="004B6D9F">
        <w:rPr>
          <w:rFonts w:eastAsia="Calibri"/>
          <w:i/>
          <w:iCs/>
          <w:sz w:val="24"/>
          <w:szCs w:val="24"/>
        </w:rPr>
        <w:t xml:space="preserve"> </w:t>
      </w:r>
      <w:r w:rsidRPr="004B6D9F">
        <w:rPr>
          <w:rFonts w:eastAsia="Calibri"/>
          <w:i/>
          <w:iCs/>
          <w:sz w:val="24"/>
          <w:szCs w:val="24"/>
        </w:rPr>
        <w:t>and shall be sealed in leak-tight containers for transport as asbestos abatement waste to a disposal site.</w:t>
      </w:r>
    </w:p>
    <w:p w14:paraId="5A0A9413" w14:textId="77777777" w:rsidR="00106E6B" w:rsidRPr="004B6D9F" w:rsidRDefault="00106E6B" w:rsidP="00106E6B">
      <w:pPr>
        <w:jc w:val="both"/>
        <w:rPr>
          <w:b/>
          <w:bCs/>
          <w:sz w:val="24"/>
          <w:szCs w:val="24"/>
        </w:rPr>
      </w:pPr>
    </w:p>
    <w:p w14:paraId="39F27D23" w14:textId="644880DD" w:rsidR="00BE46DB" w:rsidRPr="004B6D9F" w:rsidRDefault="00BE46DB" w:rsidP="00BE46DB">
      <w:pPr>
        <w:autoSpaceDE w:val="0"/>
        <w:autoSpaceDN w:val="0"/>
        <w:adjustRightInd w:val="0"/>
        <w:jc w:val="both"/>
        <w:rPr>
          <w:sz w:val="24"/>
          <w:szCs w:val="24"/>
        </w:rPr>
      </w:pPr>
      <w:r w:rsidRPr="004B6D9F">
        <w:rPr>
          <w:b/>
          <w:bCs/>
          <w:sz w:val="24"/>
          <w:szCs w:val="24"/>
        </w:rPr>
        <w:t>Requested Period of Variance:</w:t>
      </w:r>
      <w:r w:rsidRPr="004B6D9F">
        <w:rPr>
          <w:sz w:val="24"/>
          <w:szCs w:val="24"/>
        </w:rPr>
        <w:t xml:space="preserve"> </w:t>
      </w:r>
      <w:r w:rsidR="00D33381" w:rsidRPr="004B6D9F">
        <w:rPr>
          <w:sz w:val="24"/>
          <w:szCs w:val="24"/>
        </w:rPr>
        <w:t>March 2024</w:t>
      </w:r>
      <w:r w:rsidRPr="004B6D9F">
        <w:rPr>
          <w:sz w:val="24"/>
          <w:szCs w:val="24"/>
        </w:rPr>
        <w:t xml:space="preserve"> to </w:t>
      </w:r>
      <w:r w:rsidR="00D33381" w:rsidRPr="004B6D9F">
        <w:rPr>
          <w:sz w:val="24"/>
          <w:szCs w:val="24"/>
        </w:rPr>
        <w:t>March 2025</w:t>
      </w:r>
      <w:r w:rsidRPr="004B6D9F">
        <w:rPr>
          <w:sz w:val="24"/>
          <w:szCs w:val="24"/>
        </w:rPr>
        <w:t xml:space="preserve"> </w:t>
      </w:r>
    </w:p>
    <w:p w14:paraId="26B77EC9" w14:textId="77777777" w:rsidR="00BE46DB" w:rsidRPr="004B6D9F" w:rsidRDefault="00BE46DB" w:rsidP="00BE46DB">
      <w:pPr>
        <w:jc w:val="both"/>
        <w:rPr>
          <w:sz w:val="24"/>
          <w:szCs w:val="24"/>
        </w:rPr>
      </w:pPr>
    </w:p>
    <w:p w14:paraId="68879B0A" w14:textId="3DBC43FA" w:rsidR="00BE46DB" w:rsidRPr="004B6D9F" w:rsidRDefault="00BE46DB" w:rsidP="00BE46DB">
      <w:pPr>
        <w:jc w:val="both"/>
        <w:rPr>
          <w:rFonts w:eastAsia="Calibri"/>
          <w:b/>
          <w:bCs/>
          <w:sz w:val="24"/>
          <w:szCs w:val="24"/>
        </w:rPr>
      </w:pPr>
      <w:r w:rsidRPr="004B6D9F">
        <w:rPr>
          <w:b/>
          <w:bCs/>
          <w:sz w:val="24"/>
          <w:szCs w:val="24"/>
        </w:rPr>
        <w:t>Estimated Excess Emissions:</w:t>
      </w:r>
      <w:r w:rsidRPr="004B6D9F">
        <w:rPr>
          <w:sz w:val="24"/>
          <w:szCs w:val="24"/>
        </w:rPr>
        <w:t xml:space="preserve"> </w:t>
      </w:r>
      <w:r w:rsidR="00D33381" w:rsidRPr="004B6D9F">
        <w:rPr>
          <w:sz w:val="24"/>
          <w:szCs w:val="24"/>
        </w:rPr>
        <w:t>None by Applicant.</w:t>
      </w:r>
    </w:p>
    <w:p w14:paraId="4C4C4931" w14:textId="77777777" w:rsidR="00D33381" w:rsidRPr="004B6D9F" w:rsidRDefault="00D33381" w:rsidP="00BE46DB">
      <w:pPr>
        <w:rPr>
          <w:sz w:val="24"/>
          <w:szCs w:val="24"/>
        </w:rPr>
      </w:pPr>
    </w:p>
    <w:p w14:paraId="75A68417" w14:textId="12207092" w:rsidR="00BE46DB" w:rsidRPr="004B6D9F" w:rsidRDefault="00BE46DB" w:rsidP="00BE46DB">
      <w:pPr>
        <w:jc w:val="both"/>
        <w:rPr>
          <w:sz w:val="24"/>
          <w:szCs w:val="24"/>
        </w:rPr>
      </w:pPr>
      <w:r w:rsidRPr="004B6D9F">
        <w:rPr>
          <w:b/>
          <w:bCs/>
          <w:sz w:val="24"/>
          <w:szCs w:val="24"/>
        </w:rPr>
        <w:t>Fees collected this quarter:</w:t>
      </w:r>
      <w:r w:rsidRPr="004B6D9F">
        <w:rPr>
          <w:sz w:val="24"/>
          <w:szCs w:val="24"/>
        </w:rPr>
        <w:t xml:space="preserve"> $</w:t>
      </w:r>
      <w:r w:rsidR="00D33381" w:rsidRPr="004B6D9F">
        <w:rPr>
          <w:sz w:val="24"/>
          <w:szCs w:val="24"/>
        </w:rPr>
        <w:t>9,256.00</w:t>
      </w:r>
      <w:r w:rsidRPr="004B6D9F">
        <w:rPr>
          <w:sz w:val="24"/>
          <w:szCs w:val="24"/>
        </w:rPr>
        <w:t xml:space="preserve"> in filing fees. </w:t>
      </w:r>
    </w:p>
    <w:p w14:paraId="1026680F" w14:textId="77777777" w:rsidR="00BE46DB" w:rsidRPr="004B6D9F" w:rsidRDefault="00BE46DB" w:rsidP="00BE46DB">
      <w:pPr>
        <w:jc w:val="both"/>
        <w:rPr>
          <w:sz w:val="24"/>
          <w:szCs w:val="24"/>
        </w:rPr>
      </w:pPr>
    </w:p>
    <w:p w14:paraId="2C72CB1C" w14:textId="0185A36D" w:rsidR="00BE46DB" w:rsidRPr="004B6D9F" w:rsidRDefault="00BE46DB" w:rsidP="00BE46DB">
      <w:pPr>
        <w:jc w:val="both"/>
        <w:rPr>
          <w:sz w:val="24"/>
          <w:szCs w:val="24"/>
        </w:rPr>
      </w:pPr>
      <w:r w:rsidRPr="004B6D9F">
        <w:rPr>
          <w:b/>
          <w:bCs/>
          <w:sz w:val="24"/>
          <w:szCs w:val="24"/>
        </w:rPr>
        <w:t xml:space="preserve">Status: </w:t>
      </w:r>
      <w:r w:rsidRPr="004B6D9F">
        <w:rPr>
          <w:sz w:val="24"/>
          <w:szCs w:val="24"/>
        </w:rPr>
        <w:t xml:space="preserve">Application for </w:t>
      </w:r>
      <w:r w:rsidR="001969ED" w:rsidRPr="004B6D9F">
        <w:rPr>
          <w:sz w:val="24"/>
          <w:szCs w:val="24"/>
        </w:rPr>
        <w:t>Regular</w:t>
      </w:r>
      <w:r w:rsidRPr="004B6D9F">
        <w:rPr>
          <w:sz w:val="24"/>
          <w:szCs w:val="24"/>
        </w:rPr>
        <w:t xml:space="preserve"> Variance filed by Applicant on </w:t>
      </w:r>
      <w:r w:rsidR="001969ED" w:rsidRPr="004B6D9F">
        <w:rPr>
          <w:sz w:val="24"/>
          <w:szCs w:val="24"/>
        </w:rPr>
        <w:t>December 22,</w:t>
      </w:r>
      <w:r w:rsidRPr="004B6D9F">
        <w:rPr>
          <w:sz w:val="24"/>
          <w:szCs w:val="24"/>
        </w:rPr>
        <w:t xml:space="preserve"> 2023; </w:t>
      </w:r>
      <w:r w:rsidR="001969ED" w:rsidRPr="004B6D9F">
        <w:rPr>
          <w:sz w:val="24"/>
          <w:szCs w:val="24"/>
        </w:rPr>
        <w:t xml:space="preserve">Notice of Hearing (hearing date of February 27, 2024) filed and issued on January 11, 2024; </w:t>
      </w:r>
      <w:r w:rsidR="00DD4F89" w:rsidRPr="004B6D9F">
        <w:rPr>
          <w:sz w:val="24"/>
          <w:szCs w:val="24"/>
        </w:rPr>
        <w:t xml:space="preserve">on February 23, 2024, parties submitted joint proposed variance conditions; </w:t>
      </w:r>
      <w:r w:rsidR="001969ED" w:rsidRPr="004B6D9F">
        <w:rPr>
          <w:sz w:val="24"/>
          <w:szCs w:val="24"/>
        </w:rPr>
        <w:t>hearing held on February 27, 2024;</w:t>
      </w:r>
      <w:r w:rsidRPr="004B6D9F">
        <w:rPr>
          <w:sz w:val="24"/>
          <w:szCs w:val="24"/>
        </w:rPr>
        <w:t xml:space="preserve"> Order Granting </w:t>
      </w:r>
      <w:r w:rsidR="001969ED" w:rsidRPr="004B6D9F">
        <w:rPr>
          <w:sz w:val="24"/>
          <w:szCs w:val="24"/>
        </w:rPr>
        <w:t>Regular</w:t>
      </w:r>
      <w:r w:rsidRPr="004B6D9F">
        <w:rPr>
          <w:sz w:val="24"/>
          <w:szCs w:val="24"/>
        </w:rPr>
        <w:t xml:space="preserve"> </w:t>
      </w:r>
      <w:r w:rsidR="001969ED" w:rsidRPr="004B6D9F">
        <w:rPr>
          <w:sz w:val="24"/>
          <w:szCs w:val="24"/>
        </w:rPr>
        <w:t xml:space="preserve">Variance </w:t>
      </w:r>
      <w:r w:rsidR="00DD4F89" w:rsidRPr="004B6D9F">
        <w:rPr>
          <w:sz w:val="24"/>
          <w:szCs w:val="24"/>
        </w:rPr>
        <w:t>issued March 8, 2024.</w:t>
      </w:r>
      <w:r w:rsidR="001969ED" w:rsidRPr="004B6D9F">
        <w:rPr>
          <w:sz w:val="24"/>
          <w:szCs w:val="24"/>
        </w:rPr>
        <w:t xml:space="preserve"> </w:t>
      </w:r>
    </w:p>
    <w:p w14:paraId="13AB0E50" w14:textId="77777777" w:rsidR="008D55AC" w:rsidRPr="004B6D9F" w:rsidRDefault="008D55AC" w:rsidP="008D55AC">
      <w:pPr>
        <w:pBdr>
          <w:bottom w:val="single" w:sz="6" w:space="1" w:color="auto"/>
        </w:pBdr>
        <w:jc w:val="both"/>
        <w:rPr>
          <w:color w:val="FF0000"/>
          <w:sz w:val="24"/>
          <w:szCs w:val="24"/>
        </w:rPr>
      </w:pPr>
    </w:p>
    <w:p w14:paraId="2DA9CF38" w14:textId="77777777" w:rsidR="008D55AC" w:rsidRPr="004B6D9F" w:rsidRDefault="008D55AC" w:rsidP="00623F7E">
      <w:pPr>
        <w:rPr>
          <w:color w:val="FF0000"/>
          <w:sz w:val="24"/>
          <w:szCs w:val="24"/>
        </w:rPr>
      </w:pPr>
    </w:p>
    <w:p w14:paraId="60E4671F" w14:textId="6F14858A" w:rsidR="009143C4" w:rsidRPr="004B6D9F" w:rsidRDefault="0037637D" w:rsidP="00623F7E">
      <w:pPr>
        <w:rPr>
          <w:sz w:val="24"/>
          <w:szCs w:val="24"/>
        </w:rPr>
      </w:pPr>
      <w:r w:rsidRPr="004B6D9F">
        <w:rPr>
          <w:sz w:val="24"/>
          <w:szCs w:val="24"/>
        </w:rPr>
        <w:t>Respectfully submitted,</w:t>
      </w:r>
    </w:p>
    <w:p w14:paraId="5B7748D9" w14:textId="0A32852D" w:rsidR="008B7122" w:rsidRPr="004B6D9F" w:rsidRDefault="008B7122" w:rsidP="00623F7E">
      <w:pPr>
        <w:rPr>
          <w:sz w:val="24"/>
          <w:szCs w:val="24"/>
        </w:rPr>
      </w:pPr>
    </w:p>
    <w:p w14:paraId="4F2BC8BE" w14:textId="0B7F7605" w:rsidR="008B7122" w:rsidRPr="004B6D9F" w:rsidRDefault="005F74A1" w:rsidP="00623F7E">
      <w:pPr>
        <w:rPr>
          <w:rFonts w:ascii="Mistral" w:hAnsi="Mistral"/>
          <w:sz w:val="32"/>
          <w:szCs w:val="32"/>
        </w:rPr>
      </w:pPr>
      <w:r w:rsidRPr="004B6D9F">
        <w:rPr>
          <w:rFonts w:ascii="Mistral" w:hAnsi="Mistral"/>
          <w:sz w:val="32"/>
          <w:szCs w:val="32"/>
        </w:rPr>
        <w:t>/S/ Valerie J. Armento</w:t>
      </w:r>
    </w:p>
    <w:p w14:paraId="75F3B81B" w14:textId="77777777" w:rsidR="008B7122" w:rsidRPr="004B6D9F" w:rsidRDefault="008B7122" w:rsidP="00623F7E">
      <w:pPr>
        <w:rPr>
          <w:sz w:val="24"/>
          <w:szCs w:val="24"/>
        </w:rPr>
      </w:pPr>
    </w:p>
    <w:p w14:paraId="18B31E3B" w14:textId="77777777" w:rsidR="0037637D" w:rsidRPr="004B6D9F" w:rsidRDefault="0037637D" w:rsidP="00623F7E">
      <w:pPr>
        <w:pStyle w:val="NoSpacing"/>
        <w:jc w:val="both"/>
        <w:rPr>
          <w:sz w:val="24"/>
          <w:szCs w:val="24"/>
        </w:rPr>
      </w:pPr>
      <w:r w:rsidRPr="004B6D9F">
        <w:rPr>
          <w:sz w:val="24"/>
          <w:szCs w:val="24"/>
        </w:rPr>
        <w:t>Valerie J. Armento, Esq.</w:t>
      </w:r>
    </w:p>
    <w:p w14:paraId="2A9B7B07" w14:textId="77777777" w:rsidR="0037637D" w:rsidRPr="004B6D9F" w:rsidRDefault="0037637D" w:rsidP="00623F7E">
      <w:pPr>
        <w:contextualSpacing/>
        <w:jc w:val="both"/>
        <w:rPr>
          <w:sz w:val="24"/>
          <w:szCs w:val="24"/>
        </w:rPr>
      </w:pPr>
      <w:r w:rsidRPr="004B6D9F">
        <w:rPr>
          <w:sz w:val="24"/>
          <w:szCs w:val="24"/>
        </w:rPr>
        <w:t>Chair, Hearing Board</w:t>
      </w:r>
    </w:p>
    <w:p w14:paraId="29CB865C" w14:textId="77777777" w:rsidR="0037637D" w:rsidRPr="004B6D9F" w:rsidRDefault="0037637D" w:rsidP="00623F7E">
      <w:pPr>
        <w:contextualSpacing/>
        <w:jc w:val="both"/>
        <w:rPr>
          <w:sz w:val="24"/>
          <w:szCs w:val="24"/>
        </w:rPr>
      </w:pPr>
    </w:p>
    <w:p w14:paraId="7FEE4C33" w14:textId="77777777" w:rsidR="0037637D" w:rsidRPr="004B6D9F" w:rsidRDefault="0037637D" w:rsidP="00623F7E">
      <w:pPr>
        <w:tabs>
          <w:tab w:val="left" w:pos="1800"/>
        </w:tabs>
        <w:contextualSpacing/>
        <w:jc w:val="both"/>
        <w:rPr>
          <w:sz w:val="24"/>
          <w:szCs w:val="24"/>
          <w:u w:val="single"/>
        </w:rPr>
      </w:pPr>
      <w:r w:rsidRPr="004B6D9F">
        <w:rPr>
          <w:sz w:val="24"/>
          <w:szCs w:val="24"/>
        </w:rPr>
        <w:t xml:space="preserve">Prepared by:    </w:t>
      </w:r>
      <w:r w:rsidRPr="004B6D9F">
        <w:rPr>
          <w:sz w:val="24"/>
          <w:szCs w:val="24"/>
          <w:u w:val="single"/>
        </w:rPr>
        <w:t>Marcy Hiratzka</w:t>
      </w:r>
    </w:p>
    <w:p w14:paraId="73EE41BD" w14:textId="77777777" w:rsidR="0037637D" w:rsidRPr="00944D99" w:rsidRDefault="0037637D" w:rsidP="00623F7E">
      <w:pPr>
        <w:tabs>
          <w:tab w:val="left" w:pos="1800"/>
        </w:tabs>
        <w:contextualSpacing/>
        <w:jc w:val="both"/>
        <w:rPr>
          <w:sz w:val="24"/>
          <w:szCs w:val="24"/>
          <w:u w:val="single"/>
        </w:rPr>
      </w:pPr>
      <w:r w:rsidRPr="004B6D9F">
        <w:rPr>
          <w:sz w:val="24"/>
          <w:szCs w:val="24"/>
        </w:rPr>
        <w:t xml:space="preserve">Reviewed by:  </w:t>
      </w:r>
      <w:r w:rsidRPr="004B6D9F">
        <w:rPr>
          <w:sz w:val="24"/>
          <w:szCs w:val="24"/>
          <w:u w:val="single"/>
        </w:rPr>
        <w:t>Vanessa Johnson</w:t>
      </w:r>
    </w:p>
    <w:sectPr w:rsidR="0037637D" w:rsidRPr="00944D99" w:rsidSect="00182BF0">
      <w:footerReference w:type="default" r:id="rId8"/>
      <w:headerReference w:type="first" r:id="rId9"/>
      <w:pgSz w:w="12240" w:h="15840" w:code="1"/>
      <w:pgMar w:top="1440" w:right="1440" w:bottom="1080" w:left="1440" w:header="720" w:footer="3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CD1D38" w14:textId="77777777" w:rsidR="00182BF0" w:rsidRDefault="00182BF0" w:rsidP="00B865AE">
      <w:r>
        <w:separator/>
      </w:r>
    </w:p>
  </w:endnote>
  <w:endnote w:type="continuationSeparator" w:id="0">
    <w:p w14:paraId="4198AC84" w14:textId="77777777" w:rsidR="00182BF0" w:rsidRDefault="00182BF0" w:rsidP="00B8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anklinGothic-Book">
    <w:altName w:val="Calibri"/>
    <w:panose1 w:val="00000000000000000000"/>
    <w:charset w:val="00"/>
    <w:family w:val="swiss"/>
    <w:notTrueType/>
    <w:pitch w:val="default"/>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85980" w14:textId="77777777" w:rsidR="0037637D" w:rsidRDefault="00D01E86" w:rsidP="00551138">
    <w:pPr>
      <w:pStyle w:val="Footer"/>
      <w:jc w:val="center"/>
    </w:pPr>
    <w:r>
      <w:fldChar w:fldCharType="begin"/>
    </w:r>
    <w:r>
      <w:instrText xml:space="preserve"> PAGE   \* MERGEFORMAT </w:instrText>
    </w:r>
    <w:r>
      <w:fldChar w:fldCharType="separate"/>
    </w:r>
    <w:r w:rsidR="00404547">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CC46EC" w14:textId="77777777" w:rsidR="00182BF0" w:rsidRDefault="00182BF0" w:rsidP="00B865AE">
      <w:r>
        <w:separator/>
      </w:r>
    </w:p>
  </w:footnote>
  <w:footnote w:type="continuationSeparator" w:id="0">
    <w:p w14:paraId="0CDF15B8" w14:textId="77777777" w:rsidR="00182BF0" w:rsidRDefault="00182BF0" w:rsidP="00B86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3DFD7C" w14:textId="1DCCE664" w:rsidR="0037637D" w:rsidRDefault="0037637D" w:rsidP="00331D1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D005C1"/>
    <w:multiLevelType w:val="hybridMultilevel"/>
    <w:tmpl w:val="FC783542"/>
    <w:lvl w:ilvl="0" w:tplc="7A16FCFE">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64F0533"/>
    <w:multiLevelType w:val="hybridMultilevel"/>
    <w:tmpl w:val="865C1286"/>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85D01"/>
    <w:multiLevelType w:val="hybridMultilevel"/>
    <w:tmpl w:val="F3E66F0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1DF1CCC"/>
    <w:multiLevelType w:val="hybridMultilevel"/>
    <w:tmpl w:val="C4DA68D2"/>
    <w:lvl w:ilvl="0" w:tplc="3C588A1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8B01299"/>
    <w:multiLevelType w:val="hybridMultilevel"/>
    <w:tmpl w:val="75C8FA7E"/>
    <w:lvl w:ilvl="0" w:tplc="3C588A1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3AA31AD"/>
    <w:multiLevelType w:val="hybridMultilevel"/>
    <w:tmpl w:val="EDAC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A25AA2"/>
    <w:multiLevelType w:val="hybridMultilevel"/>
    <w:tmpl w:val="F3E66F0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6DB2A30"/>
    <w:multiLevelType w:val="hybridMultilevel"/>
    <w:tmpl w:val="37E833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0F0DAE"/>
    <w:multiLevelType w:val="hybridMultilevel"/>
    <w:tmpl w:val="DA0A5AC4"/>
    <w:lvl w:ilvl="0" w:tplc="3C588A1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DE76BF0"/>
    <w:multiLevelType w:val="multilevel"/>
    <w:tmpl w:val="DA00B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3."/>
      <w:lvlJc w:val="left"/>
      <w:pPr>
        <w:ind w:left="2160" w:hanging="180"/>
      </w:pPr>
      <w:rPr>
        <w:rFonts w:hint="default"/>
        <w:color w:val="auto"/>
        <w:sz w:val="24"/>
        <w:szCs w:val="24"/>
      </w:r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0" w15:restartNumberingAfterBreak="0">
    <w:nsid w:val="4E8E7239"/>
    <w:multiLevelType w:val="hybridMultilevel"/>
    <w:tmpl w:val="9752C7CE"/>
    <w:lvl w:ilvl="0" w:tplc="3C588A1E">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58A870EF"/>
    <w:multiLevelType w:val="hybridMultilevel"/>
    <w:tmpl w:val="4BC64A84"/>
    <w:lvl w:ilvl="0" w:tplc="3E4C560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4B277E"/>
    <w:multiLevelType w:val="hybridMultilevel"/>
    <w:tmpl w:val="FF24B5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70F7A44"/>
    <w:multiLevelType w:val="hybridMultilevel"/>
    <w:tmpl w:val="99700740"/>
    <w:lvl w:ilvl="0" w:tplc="3C588A1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A1E54DD"/>
    <w:multiLevelType w:val="hybridMultilevel"/>
    <w:tmpl w:val="EB30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A770E2"/>
    <w:multiLevelType w:val="hybridMultilevel"/>
    <w:tmpl w:val="39E44C50"/>
    <w:lvl w:ilvl="0" w:tplc="9EC801D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4441B82"/>
    <w:multiLevelType w:val="hybridMultilevel"/>
    <w:tmpl w:val="FF24B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DB4BA3"/>
    <w:multiLevelType w:val="hybridMultilevel"/>
    <w:tmpl w:val="F3E66F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1650725">
    <w:abstractNumId w:val="0"/>
  </w:num>
  <w:num w:numId="2" w16cid:durableId="1708599695">
    <w:abstractNumId w:val="9"/>
  </w:num>
  <w:num w:numId="3" w16cid:durableId="1443919639">
    <w:abstractNumId w:val="10"/>
  </w:num>
  <w:num w:numId="4" w16cid:durableId="61605852">
    <w:abstractNumId w:val="3"/>
  </w:num>
  <w:num w:numId="5" w16cid:durableId="1198808902">
    <w:abstractNumId w:val="8"/>
  </w:num>
  <w:num w:numId="6" w16cid:durableId="1293101013">
    <w:abstractNumId w:val="13"/>
  </w:num>
  <w:num w:numId="7" w16cid:durableId="1234008920">
    <w:abstractNumId w:val="4"/>
  </w:num>
  <w:num w:numId="8" w16cid:durableId="1283263494">
    <w:abstractNumId w:val="14"/>
  </w:num>
  <w:num w:numId="9" w16cid:durableId="165485812">
    <w:abstractNumId w:val="16"/>
  </w:num>
  <w:num w:numId="10" w16cid:durableId="346445133">
    <w:abstractNumId w:val="12"/>
  </w:num>
  <w:num w:numId="11" w16cid:durableId="357124116">
    <w:abstractNumId w:val="11"/>
  </w:num>
  <w:num w:numId="12" w16cid:durableId="300035314">
    <w:abstractNumId w:val="17"/>
  </w:num>
  <w:num w:numId="13" w16cid:durableId="1105803316">
    <w:abstractNumId w:val="6"/>
  </w:num>
  <w:num w:numId="14" w16cid:durableId="1092581061">
    <w:abstractNumId w:val="2"/>
  </w:num>
  <w:num w:numId="15" w16cid:durableId="1655450585">
    <w:abstractNumId w:val="15"/>
  </w:num>
  <w:num w:numId="16" w16cid:durableId="1420521928">
    <w:abstractNumId w:val="1"/>
  </w:num>
  <w:num w:numId="17" w16cid:durableId="1409424990">
    <w:abstractNumId w:val="7"/>
  </w:num>
  <w:num w:numId="18" w16cid:durableId="5403636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3"/>
  <w:embedSystemFonts/>
  <w:proofState w:spelling="clean" w:grammar="clean"/>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969"/>
    <w:rsid w:val="0000146D"/>
    <w:rsid w:val="000022B3"/>
    <w:rsid w:val="00002561"/>
    <w:rsid w:val="00003218"/>
    <w:rsid w:val="00003AD8"/>
    <w:rsid w:val="000138F5"/>
    <w:rsid w:val="000141FB"/>
    <w:rsid w:val="00016E7A"/>
    <w:rsid w:val="00017DF6"/>
    <w:rsid w:val="00020323"/>
    <w:rsid w:val="00023C2B"/>
    <w:rsid w:val="00024841"/>
    <w:rsid w:val="00024ECF"/>
    <w:rsid w:val="00030EF6"/>
    <w:rsid w:val="00031272"/>
    <w:rsid w:val="00031906"/>
    <w:rsid w:val="00032C81"/>
    <w:rsid w:val="0003301D"/>
    <w:rsid w:val="00033878"/>
    <w:rsid w:val="00035D4C"/>
    <w:rsid w:val="00040644"/>
    <w:rsid w:val="00040C48"/>
    <w:rsid w:val="000437FF"/>
    <w:rsid w:val="000445B3"/>
    <w:rsid w:val="000455DD"/>
    <w:rsid w:val="00045DEB"/>
    <w:rsid w:val="00054629"/>
    <w:rsid w:val="00054741"/>
    <w:rsid w:val="0005504A"/>
    <w:rsid w:val="000555F6"/>
    <w:rsid w:val="00060E35"/>
    <w:rsid w:val="000612FB"/>
    <w:rsid w:val="000614A2"/>
    <w:rsid w:val="000617ED"/>
    <w:rsid w:val="000633E1"/>
    <w:rsid w:val="000661EE"/>
    <w:rsid w:val="000672E3"/>
    <w:rsid w:val="000673E7"/>
    <w:rsid w:val="0007221E"/>
    <w:rsid w:val="000733CD"/>
    <w:rsid w:val="00075EEA"/>
    <w:rsid w:val="00077450"/>
    <w:rsid w:val="00085716"/>
    <w:rsid w:val="00087939"/>
    <w:rsid w:val="000901C4"/>
    <w:rsid w:val="00091453"/>
    <w:rsid w:val="00092E4D"/>
    <w:rsid w:val="00092FC8"/>
    <w:rsid w:val="000930D2"/>
    <w:rsid w:val="000935A6"/>
    <w:rsid w:val="000947D6"/>
    <w:rsid w:val="00096079"/>
    <w:rsid w:val="0009667C"/>
    <w:rsid w:val="000A4685"/>
    <w:rsid w:val="000A65E1"/>
    <w:rsid w:val="000A72CE"/>
    <w:rsid w:val="000A7B15"/>
    <w:rsid w:val="000B044E"/>
    <w:rsid w:val="000B0B53"/>
    <w:rsid w:val="000B0BD4"/>
    <w:rsid w:val="000B19A8"/>
    <w:rsid w:val="000B4A57"/>
    <w:rsid w:val="000B7A0B"/>
    <w:rsid w:val="000B7AAB"/>
    <w:rsid w:val="000C0B52"/>
    <w:rsid w:val="000C2996"/>
    <w:rsid w:val="000C46CD"/>
    <w:rsid w:val="000C5ADB"/>
    <w:rsid w:val="000D1FF1"/>
    <w:rsid w:val="000D2287"/>
    <w:rsid w:val="000E347A"/>
    <w:rsid w:val="000E38CB"/>
    <w:rsid w:val="000E3BFA"/>
    <w:rsid w:val="000E4314"/>
    <w:rsid w:val="000F0734"/>
    <w:rsid w:val="000F1B3C"/>
    <w:rsid w:val="000F2D6F"/>
    <w:rsid w:val="000F4782"/>
    <w:rsid w:val="000F5B92"/>
    <w:rsid w:val="000F689E"/>
    <w:rsid w:val="000F6F03"/>
    <w:rsid w:val="00100BD8"/>
    <w:rsid w:val="00101F50"/>
    <w:rsid w:val="001023FF"/>
    <w:rsid w:val="00102BA3"/>
    <w:rsid w:val="00103638"/>
    <w:rsid w:val="00105B65"/>
    <w:rsid w:val="001061D9"/>
    <w:rsid w:val="00106E6B"/>
    <w:rsid w:val="0011130F"/>
    <w:rsid w:val="00117D55"/>
    <w:rsid w:val="00120387"/>
    <w:rsid w:val="00121CC6"/>
    <w:rsid w:val="001222EC"/>
    <w:rsid w:val="00123A55"/>
    <w:rsid w:val="001258ED"/>
    <w:rsid w:val="0012633D"/>
    <w:rsid w:val="001265EA"/>
    <w:rsid w:val="00130EF3"/>
    <w:rsid w:val="001314E5"/>
    <w:rsid w:val="00131FE6"/>
    <w:rsid w:val="00132146"/>
    <w:rsid w:val="0013283D"/>
    <w:rsid w:val="0013324D"/>
    <w:rsid w:val="00133E25"/>
    <w:rsid w:val="001352BE"/>
    <w:rsid w:val="00136AD9"/>
    <w:rsid w:val="00136CF5"/>
    <w:rsid w:val="0013746B"/>
    <w:rsid w:val="001377CF"/>
    <w:rsid w:val="001405C8"/>
    <w:rsid w:val="00140764"/>
    <w:rsid w:val="001421CB"/>
    <w:rsid w:val="00144571"/>
    <w:rsid w:val="00145168"/>
    <w:rsid w:val="00151A48"/>
    <w:rsid w:val="00151FD3"/>
    <w:rsid w:val="0015261C"/>
    <w:rsid w:val="00153496"/>
    <w:rsid w:val="00153AD5"/>
    <w:rsid w:val="00157A2C"/>
    <w:rsid w:val="0016055A"/>
    <w:rsid w:val="0016275F"/>
    <w:rsid w:val="00162992"/>
    <w:rsid w:val="00162BE0"/>
    <w:rsid w:val="0016574D"/>
    <w:rsid w:val="00165B78"/>
    <w:rsid w:val="001701AC"/>
    <w:rsid w:val="00172F82"/>
    <w:rsid w:val="00174DFB"/>
    <w:rsid w:val="00176A8E"/>
    <w:rsid w:val="001774CD"/>
    <w:rsid w:val="0018074C"/>
    <w:rsid w:val="00182BF0"/>
    <w:rsid w:val="001849F4"/>
    <w:rsid w:val="00185B27"/>
    <w:rsid w:val="00185C4A"/>
    <w:rsid w:val="00185DFD"/>
    <w:rsid w:val="0019086E"/>
    <w:rsid w:val="00193212"/>
    <w:rsid w:val="0019386B"/>
    <w:rsid w:val="00193C12"/>
    <w:rsid w:val="00196567"/>
    <w:rsid w:val="001969ED"/>
    <w:rsid w:val="001977C3"/>
    <w:rsid w:val="001A1908"/>
    <w:rsid w:val="001A7D6C"/>
    <w:rsid w:val="001B2415"/>
    <w:rsid w:val="001B3B24"/>
    <w:rsid w:val="001B592E"/>
    <w:rsid w:val="001C22AE"/>
    <w:rsid w:val="001C3A13"/>
    <w:rsid w:val="001C5822"/>
    <w:rsid w:val="001C58DE"/>
    <w:rsid w:val="001C63A1"/>
    <w:rsid w:val="001C6C1E"/>
    <w:rsid w:val="001C74CF"/>
    <w:rsid w:val="001D0699"/>
    <w:rsid w:val="001D0E40"/>
    <w:rsid w:val="001D1419"/>
    <w:rsid w:val="001D6A2F"/>
    <w:rsid w:val="001E027B"/>
    <w:rsid w:val="001E0D7C"/>
    <w:rsid w:val="001E0F9A"/>
    <w:rsid w:val="001E1C01"/>
    <w:rsid w:val="001E21E6"/>
    <w:rsid w:val="001E3980"/>
    <w:rsid w:val="001E5002"/>
    <w:rsid w:val="001E5C9C"/>
    <w:rsid w:val="001E6EAA"/>
    <w:rsid w:val="001F041B"/>
    <w:rsid w:val="001F3240"/>
    <w:rsid w:val="001F5ADF"/>
    <w:rsid w:val="001F66D7"/>
    <w:rsid w:val="0020345F"/>
    <w:rsid w:val="00205804"/>
    <w:rsid w:val="00206404"/>
    <w:rsid w:val="00206748"/>
    <w:rsid w:val="00207427"/>
    <w:rsid w:val="00207F62"/>
    <w:rsid w:val="00211E2F"/>
    <w:rsid w:val="00211FB9"/>
    <w:rsid w:val="00214205"/>
    <w:rsid w:val="00214E85"/>
    <w:rsid w:val="0022296C"/>
    <w:rsid w:val="0023037B"/>
    <w:rsid w:val="002306A6"/>
    <w:rsid w:val="0023224C"/>
    <w:rsid w:val="00232AE1"/>
    <w:rsid w:val="0023498D"/>
    <w:rsid w:val="00237C19"/>
    <w:rsid w:val="0024097D"/>
    <w:rsid w:val="00240C82"/>
    <w:rsid w:val="0024262E"/>
    <w:rsid w:val="00242C3C"/>
    <w:rsid w:val="00243A60"/>
    <w:rsid w:val="00250DA5"/>
    <w:rsid w:val="002549F9"/>
    <w:rsid w:val="00260AFB"/>
    <w:rsid w:val="00264846"/>
    <w:rsid w:val="0026681A"/>
    <w:rsid w:val="00266D71"/>
    <w:rsid w:val="00274832"/>
    <w:rsid w:val="002764BA"/>
    <w:rsid w:val="002814C2"/>
    <w:rsid w:val="00283337"/>
    <w:rsid w:val="0028501A"/>
    <w:rsid w:val="00286B40"/>
    <w:rsid w:val="00291DBA"/>
    <w:rsid w:val="002944B4"/>
    <w:rsid w:val="00296E49"/>
    <w:rsid w:val="00297486"/>
    <w:rsid w:val="002A1B8C"/>
    <w:rsid w:val="002A1E9D"/>
    <w:rsid w:val="002A46C4"/>
    <w:rsid w:val="002B2C08"/>
    <w:rsid w:val="002B642C"/>
    <w:rsid w:val="002B7E32"/>
    <w:rsid w:val="002C331D"/>
    <w:rsid w:val="002C3E09"/>
    <w:rsid w:val="002C44FF"/>
    <w:rsid w:val="002D1A5A"/>
    <w:rsid w:val="002D26A8"/>
    <w:rsid w:val="002D2CDC"/>
    <w:rsid w:val="002D2D61"/>
    <w:rsid w:val="002D7FDC"/>
    <w:rsid w:val="002E0ABE"/>
    <w:rsid w:val="002E2EE9"/>
    <w:rsid w:val="002E48C8"/>
    <w:rsid w:val="002E48E0"/>
    <w:rsid w:val="002E5FD7"/>
    <w:rsid w:val="002E619F"/>
    <w:rsid w:val="002F3288"/>
    <w:rsid w:val="002F3E48"/>
    <w:rsid w:val="002F4BA0"/>
    <w:rsid w:val="0030313E"/>
    <w:rsid w:val="0030686A"/>
    <w:rsid w:val="00306A50"/>
    <w:rsid w:val="0030788C"/>
    <w:rsid w:val="003126F4"/>
    <w:rsid w:val="003132F4"/>
    <w:rsid w:val="00314DBD"/>
    <w:rsid w:val="003250AA"/>
    <w:rsid w:val="00331D13"/>
    <w:rsid w:val="00334C3D"/>
    <w:rsid w:val="00337FFC"/>
    <w:rsid w:val="0034067A"/>
    <w:rsid w:val="00340CC7"/>
    <w:rsid w:val="00341F40"/>
    <w:rsid w:val="00343838"/>
    <w:rsid w:val="003453A4"/>
    <w:rsid w:val="00346E1D"/>
    <w:rsid w:val="00347369"/>
    <w:rsid w:val="003506B5"/>
    <w:rsid w:val="003510A1"/>
    <w:rsid w:val="00353AB0"/>
    <w:rsid w:val="00354488"/>
    <w:rsid w:val="003544EF"/>
    <w:rsid w:val="00356C74"/>
    <w:rsid w:val="00361090"/>
    <w:rsid w:val="00361A7B"/>
    <w:rsid w:val="00363206"/>
    <w:rsid w:val="0036346B"/>
    <w:rsid w:val="00363AE0"/>
    <w:rsid w:val="00364F09"/>
    <w:rsid w:val="00370974"/>
    <w:rsid w:val="003738F7"/>
    <w:rsid w:val="00374C67"/>
    <w:rsid w:val="0037637D"/>
    <w:rsid w:val="00376AC6"/>
    <w:rsid w:val="00376C33"/>
    <w:rsid w:val="00381AAA"/>
    <w:rsid w:val="0038256F"/>
    <w:rsid w:val="00382652"/>
    <w:rsid w:val="00382944"/>
    <w:rsid w:val="00382DFD"/>
    <w:rsid w:val="00384255"/>
    <w:rsid w:val="003905FB"/>
    <w:rsid w:val="003910AE"/>
    <w:rsid w:val="00391A84"/>
    <w:rsid w:val="003925A3"/>
    <w:rsid w:val="0039336C"/>
    <w:rsid w:val="00397E4D"/>
    <w:rsid w:val="003A2263"/>
    <w:rsid w:val="003A2B3F"/>
    <w:rsid w:val="003A714E"/>
    <w:rsid w:val="003B0C04"/>
    <w:rsid w:val="003B168B"/>
    <w:rsid w:val="003B1C35"/>
    <w:rsid w:val="003B41DA"/>
    <w:rsid w:val="003B4A01"/>
    <w:rsid w:val="003B71EB"/>
    <w:rsid w:val="003B7564"/>
    <w:rsid w:val="003C0DF6"/>
    <w:rsid w:val="003C1D17"/>
    <w:rsid w:val="003C3AFD"/>
    <w:rsid w:val="003C3EF8"/>
    <w:rsid w:val="003C59DE"/>
    <w:rsid w:val="003D04A7"/>
    <w:rsid w:val="003D07C8"/>
    <w:rsid w:val="003D0A79"/>
    <w:rsid w:val="003D1D2E"/>
    <w:rsid w:val="003D1E46"/>
    <w:rsid w:val="003D6A88"/>
    <w:rsid w:val="003D6D78"/>
    <w:rsid w:val="003E1BCF"/>
    <w:rsid w:val="003E2C74"/>
    <w:rsid w:val="003E43E4"/>
    <w:rsid w:val="003E4EA2"/>
    <w:rsid w:val="003E568E"/>
    <w:rsid w:val="003E57A7"/>
    <w:rsid w:val="003F274D"/>
    <w:rsid w:val="003F2981"/>
    <w:rsid w:val="003F4635"/>
    <w:rsid w:val="003F6CD1"/>
    <w:rsid w:val="00404547"/>
    <w:rsid w:val="00416E5B"/>
    <w:rsid w:val="00422606"/>
    <w:rsid w:val="004250C1"/>
    <w:rsid w:val="0042615A"/>
    <w:rsid w:val="00431368"/>
    <w:rsid w:val="00434387"/>
    <w:rsid w:val="00434C42"/>
    <w:rsid w:val="00435A40"/>
    <w:rsid w:val="00437A91"/>
    <w:rsid w:val="00437E59"/>
    <w:rsid w:val="004414C1"/>
    <w:rsid w:val="00442256"/>
    <w:rsid w:val="00443875"/>
    <w:rsid w:val="00447CD9"/>
    <w:rsid w:val="004537FD"/>
    <w:rsid w:val="00453D06"/>
    <w:rsid w:val="00456523"/>
    <w:rsid w:val="004578BC"/>
    <w:rsid w:val="004618BB"/>
    <w:rsid w:val="004641ED"/>
    <w:rsid w:val="00464E38"/>
    <w:rsid w:val="0046686D"/>
    <w:rsid w:val="004702B0"/>
    <w:rsid w:val="004723F6"/>
    <w:rsid w:val="004732E8"/>
    <w:rsid w:val="00475104"/>
    <w:rsid w:val="00476C80"/>
    <w:rsid w:val="00477256"/>
    <w:rsid w:val="00477B8E"/>
    <w:rsid w:val="00480768"/>
    <w:rsid w:val="00486D02"/>
    <w:rsid w:val="00487A50"/>
    <w:rsid w:val="00492186"/>
    <w:rsid w:val="0049245E"/>
    <w:rsid w:val="00493D7C"/>
    <w:rsid w:val="004A04C8"/>
    <w:rsid w:val="004A15BB"/>
    <w:rsid w:val="004A34E9"/>
    <w:rsid w:val="004A6618"/>
    <w:rsid w:val="004A6AB7"/>
    <w:rsid w:val="004A6DA9"/>
    <w:rsid w:val="004A7C99"/>
    <w:rsid w:val="004B0287"/>
    <w:rsid w:val="004B08CB"/>
    <w:rsid w:val="004B0EA6"/>
    <w:rsid w:val="004B6D9F"/>
    <w:rsid w:val="004B7D3F"/>
    <w:rsid w:val="004C19CE"/>
    <w:rsid w:val="004C541D"/>
    <w:rsid w:val="004D12B6"/>
    <w:rsid w:val="004D2577"/>
    <w:rsid w:val="004D5BAB"/>
    <w:rsid w:val="004E1EE2"/>
    <w:rsid w:val="004E2AF5"/>
    <w:rsid w:val="004E2EF6"/>
    <w:rsid w:val="004E6DC6"/>
    <w:rsid w:val="004F3132"/>
    <w:rsid w:val="004F3DB8"/>
    <w:rsid w:val="004F48BE"/>
    <w:rsid w:val="004F507C"/>
    <w:rsid w:val="004F5FAE"/>
    <w:rsid w:val="004F7C3B"/>
    <w:rsid w:val="00500ABD"/>
    <w:rsid w:val="00500FBC"/>
    <w:rsid w:val="005027FB"/>
    <w:rsid w:val="005029B2"/>
    <w:rsid w:val="00504A01"/>
    <w:rsid w:val="005144A2"/>
    <w:rsid w:val="0051724D"/>
    <w:rsid w:val="00520F51"/>
    <w:rsid w:val="00521C50"/>
    <w:rsid w:val="005244CF"/>
    <w:rsid w:val="00525186"/>
    <w:rsid w:val="005256FB"/>
    <w:rsid w:val="005257B6"/>
    <w:rsid w:val="0053121D"/>
    <w:rsid w:val="00531E42"/>
    <w:rsid w:val="005323EE"/>
    <w:rsid w:val="00535D51"/>
    <w:rsid w:val="005374DD"/>
    <w:rsid w:val="00537DB8"/>
    <w:rsid w:val="0054324F"/>
    <w:rsid w:val="00543DF5"/>
    <w:rsid w:val="00546088"/>
    <w:rsid w:val="00547820"/>
    <w:rsid w:val="00547CD1"/>
    <w:rsid w:val="00551138"/>
    <w:rsid w:val="00553D24"/>
    <w:rsid w:val="0055654B"/>
    <w:rsid w:val="005579BE"/>
    <w:rsid w:val="0056002A"/>
    <w:rsid w:val="00560565"/>
    <w:rsid w:val="005610ED"/>
    <w:rsid w:val="00562037"/>
    <w:rsid w:val="005633DA"/>
    <w:rsid w:val="00565685"/>
    <w:rsid w:val="005656C1"/>
    <w:rsid w:val="005662E2"/>
    <w:rsid w:val="00567047"/>
    <w:rsid w:val="00570CC5"/>
    <w:rsid w:val="00570DCE"/>
    <w:rsid w:val="00574DF7"/>
    <w:rsid w:val="005802B0"/>
    <w:rsid w:val="00581C99"/>
    <w:rsid w:val="005822DE"/>
    <w:rsid w:val="005869E4"/>
    <w:rsid w:val="00586C69"/>
    <w:rsid w:val="00590E1C"/>
    <w:rsid w:val="00591A3C"/>
    <w:rsid w:val="005942C3"/>
    <w:rsid w:val="005A0193"/>
    <w:rsid w:val="005A2BAA"/>
    <w:rsid w:val="005A4325"/>
    <w:rsid w:val="005A4A17"/>
    <w:rsid w:val="005A4C6C"/>
    <w:rsid w:val="005A5E18"/>
    <w:rsid w:val="005B18E7"/>
    <w:rsid w:val="005B2EAF"/>
    <w:rsid w:val="005B4AB2"/>
    <w:rsid w:val="005B5862"/>
    <w:rsid w:val="005B7660"/>
    <w:rsid w:val="005B7F4E"/>
    <w:rsid w:val="005C03A0"/>
    <w:rsid w:val="005C20C1"/>
    <w:rsid w:val="005C7E1D"/>
    <w:rsid w:val="005C7F2E"/>
    <w:rsid w:val="005C7F9D"/>
    <w:rsid w:val="005D782A"/>
    <w:rsid w:val="005E040C"/>
    <w:rsid w:val="005E25D4"/>
    <w:rsid w:val="005E28EA"/>
    <w:rsid w:val="005E3844"/>
    <w:rsid w:val="005E3C9E"/>
    <w:rsid w:val="005E4632"/>
    <w:rsid w:val="005E6FBA"/>
    <w:rsid w:val="005E7051"/>
    <w:rsid w:val="005E73FE"/>
    <w:rsid w:val="005E7E51"/>
    <w:rsid w:val="005F07A4"/>
    <w:rsid w:val="005F2941"/>
    <w:rsid w:val="005F2977"/>
    <w:rsid w:val="005F4C14"/>
    <w:rsid w:val="005F7348"/>
    <w:rsid w:val="005F74A1"/>
    <w:rsid w:val="005F759B"/>
    <w:rsid w:val="00600D10"/>
    <w:rsid w:val="00601BE2"/>
    <w:rsid w:val="006041C8"/>
    <w:rsid w:val="00606DCC"/>
    <w:rsid w:val="006072B1"/>
    <w:rsid w:val="00607811"/>
    <w:rsid w:val="0061118D"/>
    <w:rsid w:val="00612F3F"/>
    <w:rsid w:val="00620E41"/>
    <w:rsid w:val="0062103E"/>
    <w:rsid w:val="0062124D"/>
    <w:rsid w:val="00623367"/>
    <w:rsid w:val="00623F7E"/>
    <w:rsid w:val="00625331"/>
    <w:rsid w:val="0062754A"/>
    <w:rsid w:val="00630F5B"/>
    <w:rsid w:val="0063136A"/>
    <w:rsid w:val="00631AB2"/>
    <w:rsid w:val="006320EC"/>
    <w:rsid w:val="00635790"/>
    <w:rsid w:val="00645DC8"/>
    <w:rsid w:val="00651F7D"/>
    <w:rsid w:val="00651F95"/>
    <w:rsid w:val="006524ED"/>
    <w:rsid w:val="006527EE"/>
    <w:rsid w:val="006549F8"/>
    <w:rsid w:val="00663B48"/>
    <w:rsid w:val="006642AD"/>
    <w:rsid w:val="006648DB"/>
    <w:rsid w:val="00671112"/>
    <w:rsid w:val="0067361D"/>
    <w:rsid w:val="006748F8"/>
    <w:rsid w:val="00676908"/>
    <w:rsid w:val="0068185D"/>
    <w:rsid w:val="006879B3"/>
    <w:rsid w:val="00691F5A"/>
    <w:rsid w:val="006949E9"/>
    <w:rsid w:val="0069505E"/>
    <w:rsid w:val="0069550A"/>
    <w:rsid w:val="00695988"/>
    <w:rsid w:val="0069697A"/>
    <w:rsid w:val="006A027F"/>
    <w:rsid w:val="006A1B6E"/>
    <w:rsid w:val="006A235C"/>
    <w:rsid w:val="006A699F"/>
    <w:rsid w:val="006A72CF"/>
    <w:rsid w:val="006B0EF2"/>
    <w:rsid w:val="006B171C"/>
    <w:rsid w:val="006B2D1B"/>
    <w:rsid w:val="006C0508"/>
    <w:rsid w:val="006C110E"/>
    <w:rsid w:val="006C535F"/>
    <w:rsid w:val="006C6FA5"/>
    <w:rsid w:val="006C7998"/>
    <w:rsid w:val="006D1B1C"/>
    <w:rsid w:val="006F0311"/>
    <w:rsid w:val="006F09D0"/>
    <w:rsid w:val="006F421A"/>
    <w:rsid w:val="006F44E5"/>
    <w:rsid w:val="006F4F1E"/>
    <w:rsid w:val="006F515B"/>
    <w:rsid w:val="0070456F"/>
    <w:rsid w:val="00705BD3"/>
    <w:rsid w:val="00707047"/>
    <w:rsid w:val="007144E5"/>
    <w:rsid w:val="0071493C"/>
    <w:rsid w:val="0071614C"/>
    <w:rsid w:val="00721597"/>
    <w:rsid w:val="00722AD0"/>
    <w:rsid w:val="00723677"/>
    <w:rsid w:val="00724E05"/>
    <w:rsid w:val="00725487"/>
    <w:rsid w:val="00725D59"/>
    <w:rsid w:val="00725EE1"/>
    <w:rsid w:val="0072610E"/>
    <w:rsid w:val="00726E87"/>
    <w:rsid w:val="007322AA"/>
    <w:rsid w:val="00732B2C"/>
    <w:rsid w:val="0073332D"/>
    <w:rsid w:val="00733538"/>
    <w:rsid w:val="00734E6D"/>
    <w:rsid w:val="00736980"/>
    <w:rsid w:val="00736F39"/>
    <w:rsid w:val="00740744"/>
    <w:rsid w:val="00744D08"/>
    <w:rsid w:val="007525A0"/>
    <w:rsid w:val="00755AD6"/>
    <w:rsid w:val="0075707A"/>
    <w:rsid w:val="00757D6F"/>
    <w:rsid w:val="00761AAF"/>
    <w:rsid w:val="00763D71"/>
    <w:rsid w:val="00765377"/>
    <w:rsid w:val="00766038"/>
    <w:rsid w:val="00766169"/>
    <w:rsid w:val="007707DF"/>
    <w:rsid w:val="00771AD8"/>
    <w:rsid w:val="0077381D"/>
    <w:rsid w:val="00773F9F"/>
    <w:rsid w:val="007744BE"/>
    <w:rsid w:val="007771C3"/>
    <w:rsid w:val="00777ED6"/>
    <w:rsid w:val="00791BEA"/>
    <w:rsid w:val="007930E3"/>
    <w:rsid w:val="00794E84"/>
    <w:rsid w:val="007A0F12"/>
    <w:rsid w:val="007A1A64"/>
    <w:rsid w:val="007A3235"/>
    <w:rsid w:val="007A5D93"/>
    <w:rsid w:val="007B1CB2"/>
    <w:rsid w:val="007B4AC4"/>
    <w:rsid w:val="007B6485"/>
    <w:rsid w:val="007B7511"/>
    <w:rsid w:val="007C2805"/>
    <w:rsid w:val="007C29EF"/>
    <w:rsid w:val="007C31E1"/>
    <w:rsid w:val="007C51E0"/>
    <w:rsid w:val="007D0B20"/>
    <w:rsid w:val="007D0E57"/>
    <w:rsid w:val="007D155F"/>
    <w:rsid w:val="007D33D3"/>
    <w:rsid w:val="007E253E"/>
    <w:rsid w:val="007E5B5C"/>
    <w:rsid w:val="007F0284"/>
    <w:rsid w:val="007F3081"/>
    <w:rsid w:val="007F3F5E"/>
    <w:rsid w:val="007F7886"/>
    <w:rsid w:val="007F7A3C"/>
    <w:rsid w:val="007F7C54"/>
    <w:rsid w:val="008030FD"/>
    <w:rsid w:val="0080614A"/>
    <w:rsid w:val="00814EDE"/>
    <w:rsid w:val="00820D3D"/>
    <w:rsid w:val="00821F3F"/>
    <w:rsid w:val="00823A0D"/>
    <w:rsid w:val="00824BD3"/>
    <w:rsid w:val="008269D6"/>
    <w:rsid w:val="00830C69"/>
    <w:rsid w:val="0083160C"/>
    <w:rsid w:val="008319E5"/>
    <w:rsid w:val="008334FD"/>
    <w:rsid w:val="0083429F"/>
    <w:rsid w:val="008344ED"/>
    <w:rsid w:val="008347FA"/>
    <w:rsid w:val="008349C9"/>
    <w:rsid w:val="00835F61"/>
    <w:rsid w:val="008367EC"/>
    <w:rsid w:val="00836E49"/>
    <w:rsid w:val="00837ECE"/>
    <w:rsid w:val="00841B14"/>
    <w:rsid w:val="00844BF2"/>
    <w:rsid w:val="00845929"/>
    <w:rsid w:val="00845ED9"/>
    <w:rsid w:val="00846548"/>
    <w:rsid w:val="008467B6"/>
    <w:rsid w:val="0085079B"/>
    <w:rsid w:val="00856DAC"/>
    <w:rsid w:val="00857D61"/>
    <w:rsid w:val="00862B5C"/>
    <w:rsid w:val="00862FE4"/>
    <w:rsid w:val="00865A8E"/>
    <w:rsid w:val="00865AF5"/>
    <w:rsid w:val="00866B9F"/>
    <w:rsid w:val="0087140A"/>
    <w:rsid w:val="00871577"/>
    <w:rsid w:val="0087205B"/>
    <w:rsid w:val="00873BEF"/>
    <w:rsid w:val="0088262A"/>
    <w:rsid w:val="008826FB"/>
    <w:rsid w:val="008915C0"/>
    <w:rsid w:val="00892512"/>
    <w:rsid w:val="008945AC"/>
    <w:rsid w:val="00897A37"/>
    <w:rsid w:val="008A208E"/>
    <w:rsid w:val="008A3023"/>
    <w:rsid w:val="008A51AD"/>
    <w:rsid w:val="008B0080"/>
    <w:rsid w:val="008B015E"/>
    <w:rsid w:val="008B0F42"/>
    <w:rsid w:val="008B2BEC"/>
    <w:rsid w:val="008B5A74"/>
    <w:rsid w:val="008B7122"/>
    <w:rsid w:val="008B7D71"/>
    <w:rsid w:val="008C07DD"/>
    <w:rsid w:val="008D30C5"/>
    <w:rsid w:val="008D3F7C"/>
    <w:rsid w:val="008D55AC"/>
    <w:rsid w:val="008D60CB"/>
    <w:rsid w:val="008E08F3"/>
    <w:rsid w:val="008E134A"/>
    <w:rsid w:val="008E17BD"/>
    <w:rsid w:val="008E206B"/>
    <w:rsid w:val="008E2BBD"/>
    <w:rsid w:val="008E4B82"/>
    <w:rsid w:val="008E5957"/>
    <w:rsid w:val="008E69E7"/>
    <w:rsid w:val="008E74AE"/>
    <w:rsid w:val="008F04F4"/>
    <w:rsid w:val="008F0820"/>
    <w:rsid w:val="008F0881"/>
    <w:rsid w:val="008F2C95"/>
    <w:rsid w:val="008F2F13"/>
    <w:rsid w:val="008F34EE"/>
    <w:rsid w:val="008F41DC"/>
    <w:rsid w:val="00900C4D"/>
    <w:rsid w:val="00904305"/>
    <w:rsid w:val="00905965"/>
    <w:rsid w:val="00905AFE"/>
    <w:rsid w:val="00910EAA"/>
    <w:rsid w:val="00911071"/>
    <w:rsid w:val="009143C4"/>
    <w:rsid w:val="00916319"/>
    <w:rsid w:val="00921F14"/>
    <w:rsid w:val="009242F5"/>
    <w:rsid w:val="00926202"/>
    <w:rsid w:val="00926F83"/>
    <w:rsid w:val="009311EE"/>
    <w:rsid w:val="009313DE"/>
    <w:rsid w:val="009338D3"/>
    <w:rsid w:val="0093483A"/>
    <w:rsid w:val="009412A3"/>
    <w:rsid w:val="00942F63"/>
    <w:rsid w:val="0094461A"/>
    <w:rsid w:val="00944D99"/>
    <w:rsid w:val="00945D45"/>
    <w:rsid w:val="009474CF"/>
    <w:rsid w:val="0094782F"/>
    <w:rsid w:val="009519D5"/>
    <w:rsid w:val="00951F8C"/>
    <w:rsid w:val="00953512"/>
    <w:rsid w:val="00954E90"/>
    <w:rsid w:val="009575CB"/>
    <w:rsid w:val="00962311"/>
    <w:rsid w:val="00962D7B"/>
    <w:rsid w:val="009635C5"/>
    <w:rsid w:val="00967FFB"/>
    <w:rsid w:val="00970640"/>
    <w:rsid w:val="0097067A"/>
    <w:rsid w:val="009721B1"/>
    <w:rsid w:val="009722D6"/>
    <w:rsid w:val="009736F3"/>
    <w:rsid w:val="00973C46"/>
    <w:rsid w:val="00973DF6"/>
    <w:rsid w:val="0098038E"/>
    <w:rsid w:val="009806B0"/>
    <w:rsid w:val="009829B3"/>
    <w:rsid w:val="00983342"/>
    <w:rsid w:val="00983F32"/>
    <w:rsid w:val="00984BF9"/>
    <w:rsid w:val="00984CE5"/>
    <w:rsid w:val="00990650"/>
    <w:rsid w:val="00992FCE"/>
    <w:rsid w:val="00997940"/>
    <w:rsid w:val="009A0ADF"/>
    <w:rsid w:val="009A0B43"/>
    <w:rsid w:val="009A51D8"/>
    <w:rsid w:val="009A521A"/>
    <w:rsid w:val="009A7D16"/>
    <w:rsid w:val="009B0EC9"/>
    <w:rsid w:val="009B3F58"/>
    <w:rsid w:val="009B7BE4"/>
    <w:rsid w:val="009B7D2F"/>
    <w:rsid w:val="009B7DC5"/>
    <w:rsid w:val="009C1EB2"/>
    <w:rsid w:val="009C2847"/>
    <w:rsid w:val="009C2984"/>
    <w:rsid w:val="009C2EF6"/>
    <w:rsid w:val="009C6263"/>
    <w:rsid w:val="009D0600"/>
    <w:rsid w:val="009D1483"/>
    <w:rsid w:val="009D1F33"/>
    <w:rsid w:val="009D4F7D"/>
    <w:rsid w:val="009D68BC"/>
    <w:rsid w:val="009D7E2C"/>
    <w:rsid w:val="009E09D7"/>
    <w:rsid w:val="009E213C"/>
    <w:rsid w:val="009E5CAA"/>
    <w:rsid w:val="009E6B98"/>
    <w:rsid w:val="009E6D55"/>
    <w:rsid w:val="009F11A9"/>
    <w:rsid w:val="009F29ED"/>
    <w:rsid w:val="009F3857"/>
    <w:rsid w:val="009F4298"/>
    <w:rsid w:val="009F4AB0"/>
    <w:rsid w:val="009F69A2"/>
    <w:rsid w:val="00A009FD"/>
    <w:rsid w:val="00A00A4A"/>
    <w:rsid w:val="00A0208E"/>
    <w:rsid w:val="00A073C0"/>
    <w:rsid w:val="00A11349"/>
    <w:rsid w:val="00A11866"/>
    <w:rsid w:val="00A124E5"/>
    <w:rsid w:val="00A12B51"/>
    <w:rsid w:val="00A12BEB"/>
    <w:rsid w:val="00A12F51"/>
    <w:rsid w:val="00A15F1E"/>
    <w:rsid w:val="00A16F64"/>
    <w:rsid w:val="00A171EB"/>
    <w:rsid w:val="00A221DE"/>
    <w:rsid w:val="00A22945"/>
    <w:rsid w:val="00A23826"/>
    <w:rsid w:val="00A2481D"/>
    <w:rsid w:val="00A24C29"/>
    <w:rsid w:val="00A26AFB"/>
    <w:rsid w:val="00A277F6"/>
    <w:rsid w:val="00A27C13"/>
    <w:rsid w:val="00A27F93"/>
    <w:rsid w:val="00A31719"/>
    <w:rsid w:val="00A31A8B"/>
    <w:rsid w:val="00A337F9"/>
    <w:rsid w:val="00A366DF"/>
    <w:rsid w:val="00A40C44"/>
    <w:rsid w:val="00A41259"/>
    <w:rsid w:val="00A52C11"/>
    <w:rsid w:val="00A52D23"/>
    <w:rsid w:val="00A57427"/>
    <w:rsid w:val="00A6554A"/>
    <w:rsid w:val="00A665AE"/>
    <w:rsid w:val="00A6676A"/>
    <w:rsid w:val="00A71ADB"/>
    <w:rsid w:val="00A72953"/>
    <w:rsid w:val="00A73059"/>
    <w:rsid w:val="00A7710B"/>
    <w:rsid w:val="00A808EF"/>
    <w:rsid w:val="00A815A2"/>
    <w:rsid w:val="00A82515"/>
    <w:rsid w:val="00A8473B"/>
    <w:rsid w:val="00A86570"/>
    <w:rsid w:val="00A87307"/>
    <w:rsid w:val="00A878C5"/>
    <w:rsid w:val="00A87F2F"/>
    <w:rsid w:val="00A90E2E"/>
    <w:rsid w:val="00A9420E"/>
    <w:rsid w:val="00A94BBB"/>
    <w:rsid w:val="00A95453"/>
    <w:rsid w:val="00AA015B"/>
    <w:rsid w:val="00AA3DE5"/>
    <w:rsid w:val="00AB1A34"/>
    <w:rsid w:val="00AB23EF"/>
    <w:rsid w:val="00AB550B"/>
    <w:rsid w:val="00AC55CB"/>
    <w:rsid w:val="00AC6BA4"/>
    <w:rsid w:val="00AC7CCF"/>
    <w:rsid w:val="00AD0BDF"/>
    <w:rsid w:val="00AD1D85"/>
    <w:rsid w:val="00AD279B"/>
    <w:rsid w:val="00AD2B38"/>
    <w:rsid w:val="00AD420D"/>
    <w:rsid w:val="00AD5F9A"/>
    <w:rsid w:val="00AD6469"/>
    <w:rsid w:val="00AE0980"/>
    <w:rsid w:val="00AE7FA4"/>
    <w:rsid w:val="00AF4D15"/>
    <w:rsid w:val="00AF4FEE"/>
    <w:rsid w:val="00AF54B0"/>
    <w:rsid w:val="00AF6D32"/>
    <w:rsid w:val="00AF7607"/>
    <w:rsid w:val="00AF7AEC"/>
    <w:rsid w:val="00AF7E45"/>
    <w:rsid w:val="00B00A22"/>
    <w:rsid w:val="00B032BF"/>
    <w:rsid w:val="00B073E8"/>
    <w:rsid w:val="00B11496"/>
    <w:rsid w:val="00B12F90"/>
    <w:rsid w:val="00B14364"/>
    <w:rsid w:val="00B16130"/>
    <w:rsid w:val="00B2118A"/>
    <w:rsid w:val="00B234BE"/>
    <w:rsid w:val="00B304B1"/>
    <w:rsid w:val="00B31197"/>
    <w:rsid w:val="00B317EA"/>
    <w:rsid w:val="00B31CE8"/>
    <w:rsid w:val="00B3364C"/>
    <w:rsid w:val="00B34EC0"/>
    <w:rsid w:val="00B35CE1"/>
    <w:rsid w:val="00B363CA"/>
    <w:rsid w:val="00B369F3"/>
    <w:rsid w:val="00B36A64"/>
    <w:rsid w:val="00B377BD"/>
    <w:rsid w:val="00B41827"/>
    <w:rsid w:val="00B43705"/>
    <w:rsid w:val="00B4708F"/>
    <w:rsid w:val="00B5659E"/>
    <w:rsid w:val="00B60555"/>
    <w:rsid w:val="00B61E22"/>
    <w:rsid w:val="00B6338D"/>
    <w:rsid w:val="00B71172"/>
    <w:rsid w:val="00B7127B"/>
    <w:rsid w:val="00B71B7E"/>
    <w:rsid w:val="00B72C80"/>
    <w:rsid w:val="00B72FB2"/>
    <w:rsid w:val="00B732F8"/>
    <w:rsid w:val="00B74189"/>
    <w:rsid w:val="00B7702A"/>
    <w:rsid w:val="00B80214"/>
    <w:rsid w:val="00B8223C"/>
    <w:rsid w:val="00B827AE"/>
    <w:rsid w:val="00B82D92"/>
    <w:rsid w:val="00B85FFA"/>
    <w:rsid w:val="00B865AE"/>
    <w:rsid w:val="00B875CC"/>
    <w:rsid w:val="00B87FEE"/>
    <w:rsid w:val="00B91710"/>
    <w:rsid w:val="00B93594"/>
    <w:rsid w:val="00B949CC"/>
    <w:rsid w:val="00B96DA0"/>
    <w:rsid w:val="00BA0709"/>
    <w:rsid w:val="00BA1D27"/>
    <w:rsid w:val="00BA35EF"/>
    <w:rsid w:val="00BA5704"/>
    <w:rsid w:val="00BA6BBD"/>
    <w:rsid w:val="00BA7164"/>
    <w:rsid w:val="00BB2347"/>
    <w:rsid w:val="00BB5C97"/>
    <w:rsid w:val="00BB6491"/>
    <w:rsid w:val="00BB7888"/>
    <w:rsid w:val="00BC77C6"/>
    <w:rsid w:val="00BD0688"/>
    <w:rsid w:val="00BD0868"/>
    <w:rsid w:val="00BD1083"/>
    <w:rsid w:val="00BD461C"/>
    <w:rsid w:val="00BD55B5"/>
    <w:rsid w:val="00BD58A0"/>
    <w:rsid w:val="00BD603C"/>
    <w:rsid w:val="00BD71FC"/>
    <w:rsid w:val="00BD7F21"/>
    <w:rsid w:val="00BE20C9"/>
    <w:rsid w:val="00BE4445"/>
    <w:rsid w:val="00BE46DB"/>
    <w:rsid w:val="00BE6CE4"/>
    <w:rsid w:val="00BF05FE"/>
    <w:rsid w:val="00BF1466"/>
    <w:rsid w:val="00BF1C14"/>
    <w:rsid w:val="00BF476E"/>
    <w:rsid w:val="00C004EE"/>
    <w:rsid w:val="00C04CBC"/>
    <w:rsid w:val="00C063F6"/>
    <w:rsid w:val="00C068FF"/>
    <w:rsid w:val="00C10417"/>
    <w:rsid w:val="00C137F6"/>
    <w:rsid w:val="00C14CFF"/>
    <w:rsid w:val="00C17C17"/>
    <w:rsid w:val="00C17F41"/>
    <w:rsid w:val="00C2358C"/>
    <w:rsid w:val="00C2646A"/>
    <w:rsid w:val="00C266EC"/>
    <w:rsid w:val="00C271B4"/>
    <w:rsid w:val="00C34470"/>
    <w:rsid w:val="00C35DF6"/>
    <w:rsid w:val="00C41C07"/>
    <w:rsid w:val="00C41E12"/>
    <w:rsid w:val="00C43A23"/>
    <w:rsid w:val="00C43A9C"/>
    <w:rsid w:val="00C43C53"/>
    <w:rsid w:val="00C465F9"/>
    <w:rsid w:val="00C468C5"/>
    <w:rsid w:val="00C5108D"/>
    <w:rsid w:val="00C5184B"/>
    <w:rsid w:val="00C52951"/>
    <w:rsid w:val="00C53461"/>
    <w:rsid w:val="00C53BAE"/>
    <w:rsid w:val="00C548FB"/>
    <w:rsid w:val="00C55BD1"/>
    <w:rsid w:val="00C6051E"/>
    <w:rsid w:val="00C60E56"/>
    <w:rsid w:val="00C624B7"/>
    <w:rsid w:val="00C62BDD"/>
    <w:rsid w:val="00C6405A"/>
    <w:rsid w:val="00C676E2"/>
    <w:rsid w:val="00C722AC"/>
    <w:rsid w:val="00C72A18"/>
    <w:rsid w:val="00C72CC8"/>
    <w:rsid w:val="00C749AE"/>
    <w:rsid w:val="00C7560C"/>
    <w:rsid w:val="00C758D5"/>
    <w:rsid w:val="00C76344"/>
    <w:rsid w:val="00C82D55"/>
    <w:rsid w:val="00C840A4"/>
    <w:rsid w:val="00C84A2C"/>
    <w:rsid w:val="00C873E7"/>
    <w:rsid w:val="00C87C83"/>
    <w:rsid w:val="00C90672"/>
    <w:rsid w:val="00C91B50"/>
    <w:rsid w:val="00C937EF"/>
    <w:rsid w:val="00C96C15"/>
    <w:rsid w:val="00CA2EE6"/>
    <w:rsid w:val="00CA5A20"/>
    <w:rsid w:val="00CB0E58"/>
    <w:rsid w:val="00CB30C1"/>
    <w:rsid w:val="00CB723B"/>
    <w:rsid w:val="00CC2D43"/>
    <w:rsid w:val="00CC2DF6"/>
    <w:rsid w:val="00CC3478"/>
    <w:rsid w:val="00CC3A14"/>
    <w:rsid w:val="00CC47F0"/>
    <w:rsid w:val="00CD03DF"/>
    <w:rsid w:val="00CD22E6"/>
    <w:rsid w:val="00CD4506"/>
    <w:rsid w:val="00CD5F05"/>
    <w:rsid w:val="00CD731E"/>
    <w:rsid w:val="00CE16E0"/>
    <w:rsid w:val="00CE1EDB"/>
    <w:rsid w:val="00CE4561"/>
    <w:rsid w:val="00CE4932"/>
    <w:rsid w:val="00CE744D"/>
    <w:rsid w:val="00CF2C4F"/>
    <w:rsid w:val="00D00868"/>
    <w:rsid w:val="00D00E28"/>
    <w:rsid w:val="00D010F2"/>
    <w:rsid w:val="00D012E4"/>
    <w:rsid w:val="00D01C90"/>
    <w:rsid w:val="00D01E86"/>
    <w:rsid w:val="00D034E9"/>
    <w:rsid w:val="00D044E7"/>
    <w:rsid w:val="00D055AE"/>
    <w:rsid w:val="00D07114"/>
    <w:rsid w:val="00D13469"/>
    <w:rsid w:val="00D13785"/>
    <w:rsid w:val="00D15283"/>
    <w:rsid w:val="00D1624C"/>
    <w:rsid w:val="00D167FB"/>
    <w:rsid w:val="00D20E98"/>
    <w:rsid w:val="00D2109E"/>
    <w:rsid w:val="00D237A9"/>
    <w:rsid w:val="00D23807"/>
    <w:rsid w:val="00D24A13"/>
    <w:rsid w:val="00D27F2F"/>
    <w:rsid w:val="00D32E7B"/>
    <w:rsid w:val="00D32ECA"/>
    <w:rsid w:val="00D33381"/>
    <w:rsid w:val="00D37659"/>
    <w:rsid w:val="00D421D8"/>
    <w:rsid w:val="00D42DE8"/>
    <w:rsid w:val="00D45594"/>
    <w:rsid w:val="00D518E4"/>
    <w:rsid w:val="00D51E49"/>
    <w:rsid w:val="00D57ADF"/>
    <w:rsid w:val="00D60121"/>
    <w:rsid w:val="00D609AC"/>
    <w:rsid w:val="00D61B66"/>
    <w:rsid w:val="00D62F5F"/>
    <w:rsid w:val="00D63094"/>
    <w:rsid w:val="00D639B6"/>
    <w:rsid w:val="00D64B1C"/>
    <w:rsid w:val="00D65A8F"/>
    <w:rsid w:val="00D66E85"/>
    <w:rsid w:val="00D67203"/>
    <w:rsid w:val="00D67528"/>
    <w:rsid w:val="00D701F6"/>
    <w:rsid w:val="00D722C6"/>
    <w:rsid w:val="00D73530"/>
    <w:rsid w:val="00D74BF1"/>
    <w:rsid w:val="00D85266"/>
    <w:rsid w:val="00D869F0"/>
    <w:rsid w:val="00D872A8"/>
    <w:rsid w:val="00D9635D"/>
    <w:rsid w:val="00D9675A"/>
    <w:rsid w:val="00D96A59"/>
    <w:rsid w:val="00D96F99"/>
    <w:rsid w:val="00D97128"/>
    <w:rsid w:val="00DA1C3B"/>
    <w:rsid w:val="00DA233E"/>
    <w:rsid w:val="00DA57B0"/>
    <w:rsid w:val="00DA704C"/>
    <w:rsid w:val="00DA759B"/>
    <w:rsid w:val="00DB0EFE"/>
    <w:rsid w:val="00DB1B86"/>
    <w:rsid w:val="00DB50F2"/>
    <w:rsid w:val="00DB5CD7"/>
    <w:rsid w:val="00DB7751"/>
    <w:rsid w:val="00DC0905"/>
    <w:rsid w:val="00DC6B32"/>
    <w:rsid w:val="00DC6FFB"/>
    <w:rsid w:val="00DC799C"/>
    <w:rsid w:val="00DC7C0E"/>
    <w:rsid w:val="00DD2B26"/>
    <w:rsid w:val="00DD3166"/>
    <w:rsid w:val="00DD423C"/>
    <w:rsid w:val="00DD4390"/>
    <w:rsid w:val="00DD4F89"/>
    <w:rsid w:val="00DD6702"/>
    <w:rsid w:val="00DD7233"/>
    <w:rsid w:val="00DE285D"/>
    <w:rsid w:val="00DE4C18"/>
    <w:rsid w:val="00DE663C"/>
    <w:rsid w:val="00DF0C9E"/>
    <w:rsid w:val="00DF1182"/>
    <w:rsid w:val="00DF3E5D"/>
    <w:rsid w:val="00DF69AD"/>
    <w:rsid w:val="00DF7D66"/>
    <w:rsid w:val="00E0361A"/>
    <w:rsid w:val="00E0695A"/>
    <w:rsid w:val="00E10C36"/>
    <w:rsid w:val="00E144BF"/>
    <w:rsid w:val="00E152BC"/>
    <w:rsid w:val="00E17999"/>
    <w:rsid w:val="00E2069B"/>
    <w:rsid w:val="00E207E4"/>
    <w:rsid w:val="00E21570"/>
    <w:rsid w:val="00E2246D"/>
    <w:rsid w:val="00E226F9"/>
    <w:rsid w:val="00E26BB9"/>
    <w:rsid w:val="00E30B16"/>
    <w:rsid w:val="00E319C8"/>
    <w:rsid w:val="00E32408"/>
    <w:rsid w:val="00E358A3"/>
    <w:rsid w:val="00E3634B"/>
    <w:rsid w:val="00E402F8"/>
    <w:rsid w:val="00E50001"/>
    <w:rsid w:val="00E50751"/>
    <w:rsid w:val="00E550F8"/>
    <w:rsid w:val="00E556E8"/>
    <w:rsid w:val="00E55DC3"/>
    <w:rsid w:val="00E564FA"/>
    <w:rsid w:val="00E56A8F"/>
    <w:rsid w:val="00E56BA6"/>
    <w:rsid w:val="00E6088D"/>
    <w:rsid w:val="00E60CBF"/>
    <w:rsid w:val="00E62F47"/>
    <w:rsid w:val="00E6467E"/>
    <w:rsid w:val="00E648CE"/>
    <w:rsid w:val="00E65EB2"/>
    <w:rsid w:val="00E670E2"/>
    <w:rsid w:val="00E70E77"/>
    <w:rsid w:val="00E72779"/>
    <w:rsid w:val="00E72831"/>
    <w:rsid w:val="00E74E5C"/>
    <w:rsid w:val="00E77C9A"/>
    <w:rsid w:val="00E81746"/>
    <w:rsid w:val="00E82645"/>
    <w:rsid w:val="00E84CC4"/>
    <w:rsid w:val="00E8659C"/>
    <w:rsid w:val="00E86F7A"/>
    <w:rsid w:val="00E87E97"/>
    <w:rsid w:val="00E90051"/>
    <w:rsid w:val="00E910AE"/>
    <w:rsid w:val="00E91502"/>
    <w:rsid w:val="00E92801"/>
    <w:rsid w:val="00E95737"/>
    <w:rsid w:val="00E95C24"/>
    <w:rsid w:val="00E96125"/>
    <w:rsid w:val="00EA00A5"/>
    <w:rsid w:val="00EA05CA"/>
    <w:rsid w:val="00EA2800"/>
    <w:rsid w:val="00EA2A50"/>
    <w:rsid w:val="00EA636A"/>
    <w:rsid w:val="00EA7353"/>
    <w:rsid w:val="00EB2D43"/>
    <w:rsid w:val="00EB34DE"/>
    <w:rsid w:val="00EC2A63"/>
    <w:rsid w:val="00ED1615"/>
    <w:rsid w:val="00ED1988"/>
    <w:rsid w:val="00ED3332"/>
    <w:rsid w:val="00ED4AD8"/>
    <w:rsid w:val="00ED5094"/>
    <w:rsid w:val="00ED5D46"/>
    <w:rsid w:val="00ED6D17"/>
    <w:rsid w:val="00ED6E75"/>
    <w:rsid w:val="00EE524D"/>
    <w:rsid w:val="00EE5AC0"/>
    <w:rsid w:val="00EE605B"/>
    <w:rsid w:val="00EF159E"/>
    <w:rsid w:val="00EF2347"/>
    <w:rsid w:val="00EF274E"/>
    <w:rsid w:val="00EF3152"/>
    <w:rsid w:val="00EF7B09"/>
    <w:rsid w:val="00F03746"/>
    <w:rsid w:val="00F053C1"/>
    <w:rsid w:val="00F060D5"/>
    <w:rsid w:val="00F06A8C"/>
    <w:rsid w:val="00F12893"/>
    <w:rsid w:val="00F12C57"/>
    <w:rsid w:val="00F14E3D"/>
    <w:rsid w:val="00F166F0"/>
    <w:rsid w:val="00F16835"/>
    <w:rsid w:val="00F25239"/>
    <w:rsid w:val="00F26878"/>
    <w:rsid w:val="00F31957"/>
    <w:rsid w:val="00F357A3"/>
    <w:rsid w:val="00F36234"/>
    <w:rsid w:val="00F362C4"/>
    <w:rsid w:val="00F363D0"/>
    <w:rsid w:val="00F364AA"/>
    <w:rsid w:val="00F37099"/>
    <w:rsid w:val="00F403C3"/>
    <w:rsid w:val="00F42F9B"/>
    <w:rsid w:val="00F43CB8"/>
    <w:rsid w:val="00F45547"/>
    <w:rsid w:val="00F5355C"/>
    <w:rsid w:val="00F576D8"/>
    <w:rsid w:val="00F57C0C"/>
    <w:rsid w:val="00F67D6E"/>
    <w:rsid w:val="00F71F50"/>
    <w:rsid w:val="00F72509"/>
    <w:rsid w:val="00F80688"/>
    <w:rsid w:val="00F8234D"/>
    <w:rsid w:val="00F82969"/>
    <w:rsid w:val="00F83D83"/>
    <w:rsid w:val="00F842DC"/>
    <w:rsid w:val="00F87A37"/>
    <w:rsid w:val="00F90577"/>
    <w:rsid w:val="00F917AE"/>
    <w:rsid w:val="00F91E5A"/>
    <w:rsid w:val="00F92CCF"/>
    <w:rsid w:val="00F94827"/>
    <w:rsid w:val="00F9619A"/>
    <w:rsid w:val="00F96AE1"/>
    <w:rsid w:val="00F97A89"/>
    <w:rsid w:val="00F97B42"/>
    <w:rsid w:val="00F97F59"/>
    <w:rsid w:val="00FA0E38"/>
    <w:rsid w:val="00FA2A86"/>
    <w:rsid w:val="00FA40CD"/>
    <w:rsid w:val="00FA5B55"/>
    <w:rsid w:val="00FA69EC"/>
    <w:rsid w:val="00FA7008"/>
    <w:rsid w:val="00FA74E7"/>
    <w:rsid w:val="00FB043D"/>
    <w:rsid w:val="00FB2F8B"/>
    <w:rsid w:val="00FB3DCE"/>
    <w:rsid w:val="00FB44CE"/>
    <w:rsid w:val="00FB4FC0"/>
    <w:rsid w:val="00FB5CC5"/>
    <w:rsid w:val="00FC1441"/>
    <w:rsid w:val="00FC2698"/>
    <w:rsid w:val="00FC3E78"/>
    <w:rsid w:val="00FC4E4C"/>
    <w:rsid w:val="00FC62C6"/>
    <w:rsid w:val="00FC7C6F"/>
    <w:rsid w:val="00FD0049"/>
    <w:rsid w:val="00FD1385"/>
    <w:rsid w:val="00FD1DB5"/>
    <w:rsid w:val="00FD6382"/>
    <w:rsid w:val="00FD794A"/>
    <w:rsid w:val="00FE0690"/>
    <w:rsid w:val="00FE0DF4"/>
    <w:rsid w:val="00FE1229"/>
    <w:rsid w:val="00FE2D4D"/>
    <w:rsid w:val="00FE4D32"/>
    <w:rsid w:val="00FE51C3"/>
    <w:rsid w:val="00FE59EB"/>
    <w:rsid w:val="00FE69D1"/>
    <w:rsid w:val="00FF1AFC"/>
    <w:rsid w:val="00FF3913"/>
    <w:rsid w:val="00FF4000"/>
    <w:rsid w:val="00FF5431"/>
    <w:rsid w:val="00FF564E"/>
    <w:rsid w:val="00FF6F07"/>
    <w:rsid w:val="00FF78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hapeDefaults>
    <o:shapedefaults v:ext="edit" spidmax="2050"/>
    <o:shapelayout v:ext="edit">
      <o:idmap v:ext="edit" data="2"/>
    </o:shapelayout>
  </w:shapeDefaults>
  <w:decimalSymbol w:val="."/>
  <w:listSeparator w:val=","/>
  <w14:docId w14:val="3FECAA8E"/>
  <w15:docId w15:val="{0D669FEB-10D1-4F36-9B28-FE9431D6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4AA"/>
    <w:rPr>
      <w:rFonts w:ascii="Times New Roman" w:eastAsia="Times New Roman" w:hAnsi="Times New Roman"/>
      <w:sz w:val="20"/>
      <w:szCs w:val="20"/>
    </w:rPr>
  </w:style>
  <w:style w:type="paragraph" w:styleId="Heading3">
    <w:name w:val="heading 3"/>
    <w:basedOn w:val="Normal"/>
    <w:next w:val="Normal"/>
    <w:link w:val="Heading3Char"/>
    <w:uiPriority w:val="99"/>
    <w:qFormat/>
    <w:rsid w:val="00630F5B"/>
    <w:pPr>
      <w:keepNext/>
      <w:spacing w:before="240" w:after="60"/>
      <w:outlineLvl w:val="2"/>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630F5B"/>
    <w:rPr>
      <w:rFonts w:ascii="Arial" w:hAnsi="Arial" w:cs="Arial"/>
      <w:sz w:val="20"/>
      <w:szCs w:val="20"/>
    </w:rPr>
  </w:style>
  <w:style w:type="paragraph" w:styleId="EnvelopeAddress">
    <w:name w:val="envelope address"/>
    <w:basedOn w:val="Normal"/>
    <w:uiPriority w:val="99"/>
    <w:semiHidden/>
    <w:rsid w:val="003738F7"/>
    <w:pPr>
      <w:framePr w:w="7920" w:h="1980" w:hRule="exact" w:hSpace="180" w:wrap="auto" w:hAnchor="page" w:xAlign="center" w:yAlign="bottom"/>
      <w:ind w:left="2880"/>
    </w:pPr>
    <w:rPr>
      <w:rFonts w:ascii="Cambria" w:hAnsi="Cambria" w:cs="Cambria"/>
      <w:smallCaps/>
      <w:sz w:val="24"/>
      <w:szCs w:val="24"/>
    </w:rPr>
  </w:style>
  <w:style w:type="paragraph" w:styleId="CommentText">
    <w:name w:val="annotation text"/>
    <w:basedOn w:val="Normal"/>
    <w:link w:val="CommentTextChar"/>
    <w:uiPriority w:val="99"/>
    <w:semiHidden/>
    <w:rsid w:val="00F364AA"/>
  </w:style>
  <w:style w:type="character" w:customStyle="1" w:styleId="CommentTextChar">
    <w:name w:val="Comment Text Char"/>
    <w:basedOn w:val="DefaultParagraphFont"/>
    <w:link w:val="CommentText"/>
    <w:uiPriority w:val="99"/>
    <w:semiHidden/>
    <w:rsid w:val="00F364AA"/>
    <w:rPr>
      <w:rFonts w:ascii="Times New Roman" w:hAnsi="Times New Roman" w:cs="Times New Roman"/>
      <w:sz w:val="20"/>
      <w:szCs w:val="20"/>
    </w:rPr>
  </w:style>
  <w:style w:type="character" w:styleId="CommentReference">
    <w:name w:val="annotation reference"/>
    <w:basedOn w:val="DefaultParagraphFont"/>
    <w:uiPriority w:val="99"/>
    <w:semiHidden/>
    <w:rsid w:val="00F364AA"/>
    <w:rPr>
      <w:sz w:val="16"/>
      <w:szCs w:val="16"/>
    </w:rPr>
  </w:style>
  <w:style w:type="paragraph" w:styleId="BalloonText">
    <w:name w:val="Balloon Text"/>
    <w:basedOn w:val="Normal"/>
    <w:link w:val="BalloonTextChar"/>
    <w:uiPriority w:val="99"/>
    <w:semiHidden/>
    <w:rsid w:val="00F364AA"/>
    <w:rPr>
      <w:rFonts w:ascii="Tahoma" w:hAnsi="Tahoma" w:cs="Tahoma"/>
      <w:sz w:val="16"/>
      <w:szCs w:val="16"/>
    </w:rPr>
  </w:style>
  <w:style w:type="character" w:customStyle="1" w:styleId="BalloonTextChar">
    <w:name w:val="Balloon Text Char"/>
    <w:basedOn w:val="DefaultParagraphFont"/>
    <w:link w:val="BalloonText"/>
    <w:uiPriority w:val="99"/>
    <w:semiHidden/>
    <w:rsid w:val="00F364AA"/>
    <w:rPr>
      <w:rFonts w:ascii="Tahoma" w:hAnsi="Tahoma" w:cs="Tahoma"/>
      <w:sz w:val="16"/>
      <w:szCs w:val="16"/>
    </w:rPr>
  </w:style>
  <w:style w:type="table" w:styleId="TableGrid">
    <w:name w:val="Table Grid"/>
    <w:basedOn w:val="TableNormal"/>
    <w:uiPriority w:val="99"/>
    <w:rsid w:val="00EB34D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630F5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630F5B"/>
    <w:rPr>
      <w:rFonts w:ascii="Arial" w:hAnsi="Arial" w:cs="Arial"/>
      <w:sz w:val="20"/>
      <w:szCs w:val="20"/>
    </w:rPr>
  </w:style>
  <w:style w:type="paragraph" w:styleId="NoSpacing">
    <w:name w:val="No Spacing"/>
    <w:uiPriority w:val="99"/>
    <w:qFormat/>
    <w:rsid w:val="00FA69EC"/>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567047"/>
    <w:rPr>
      <w:b/>
      <w:bCs/>
    </w:rPr>
  </w:style>
  <w:style w:type="character" w:customStyle="1" w:styleId="CommentSubjectChar">
    <w:name w:val="Comment Subject Char"/>
    <w:basedOn w:val="CommentTextChar"/>
    <w:link w:val="CommentSubject"/>
    <w:uiPriority w:val="99"/>
    <w:semiHidden/>
    <w:rsid w:val="00567047"/>
    <w:rPr>
      <w:rFonts w:ascii="Times New Roman" w:hAnsi="Times New Roman" w:cs="Times New Roman"/>
      <w:b/>
      <w:bCs/>
      <w:sz w:val="20"/>
      <w:szCs w:val="20"/>
    </w:rPr>
  </w:style>
  <w:style w:type="paragraph" w:styleId="Header">
    <w:name w:val="header"/>
    <w:basedOn w:val="Normal"/>
    <w:link w:val="HeaderChar"/>
    <w:uiPriority w:val="99"/>
    <w:rsid w:val="00B865AE"/>
    <w:pPr>
      <w:tabs>
        <w:tab w:val="center" w:pos="4680"/>
        <w:tab w:val="right" w:pos="9360"/>
      </w:tabs>
    </w:pPr>
  </w:style>
  <w:style w:type="character" w:customStyle="1" w:styleId="HeaderChar">
    <w:name w:val="Header Char"/>
    <w:basedOn w:val="DefaultParagraphFont"/>
    <w:link w:val="Header"/>
    <w:uiPriority w:val="99"/>
    <w:rsid w:val="00B865AE"/>
    <w:rPr>
      <w:rFonts w:ascii="Times New Roman" w:hAnsi="Times New Roman" w:cs="Times New Roman"/>
      <w:sz w:val="20"/>
      <w:szCs w:val="20"/>
    </w:rPr>
  </w:style>
  <w:style w:type="paragraph" w:styleId="Footer">
    <w:name w:val="footer"/>
    <w:basedOn w:val="Normal"/>
    <w:link w:val="FooterChar"/>
    <w:uiPriority w:val="99"/>
    <w:rsid w:val="00B865AE"/>
    <w:pPr>
      <w:tabs>
        <w:tab w:val="center" w:pos="4680"/>
        <w:tab w:val="right" w:pos="9360"/>
      </w:tabs>
    </w:pPr>
  </w:style>
  <w:style w:type="character" w:customStyle="1" w:styleId="FooterChar">
    <w:name w:val="Footer Char"/>
    <w:basedOn w:val="DefaultParagraphFont"/>
    <w:link w:val="Footer"/>
    <w:uiPriority w:val="99"/>
    <w:rsid w:val="00B865AE"/>
    <w:rPr>
      <w:rFonts w:ascii="Times New Roman" w:hAnsi="Times New Roman" w:cs="Times New Roman"/>
      <w:sz w:val="20"/>
      <w:szCs w:val="20"/>
    </w:rPr>
  </w:style>
  <w:style w:type="paragraph" w:styleId="BodyText3">
    <w:name w:val="Body Text 3"/>
    <w:basedOn w:val="Normal"/>
    <w:link w:val="BodyText3Char"/>
    <w:uiPriority w:val="99"/>
    <w:rsid w:val="00B31197"/>
    <w:pPr>
      <w:spacing w:after="120"/>
    </w:pPr>
    <w:rPr>
      <w:sz w:val="16"/>
      <w:szCs w:val="16"/>
    </w:rPr>
  </w:style>
  <w:style w:type="character" w:customStyle="1" w:styleId="BodyText3Char">
    <w:name w:val="Body Text 3 Char"/>
    <w:basedOn w:val="DefaultParagraphFont"/>
    <w:link w:val="BodyText3"/>
    <w:uiPriority w:val="99"/>
    <w:rsid w:val="00B31197"/>
    <w:rPr>
      <w:rFonts w:ascii="Times New Roman" w:hAnsi="Times New Roman" w:cs="Times New Roman"/>
      <w:sz w:val="16"/>
      <w:szCs w:val="16"/>
    </w:rPr>
  </w:style>
  <w:style w:type="paragraph" w:styleId="BodyText">
    <w:name w:val="Body Text"/>
    <w:basedOn w:val="Normal"/>
    <w:link w:val="BodyTextChar"/>
    <w:uiPriority w:val="99"/>
    <w:semiHidden/>
    <w:rsid w:val="00D055AE"/>
    <w:pPr>
      <w:spacing w:after="120"/>
    </w:pPr>
  </w:style>
  <w:style w:type="character" w:customStyle="1" w:styleId="BodyTextChar">
    <w:name w:val="Body Text Char"/>
    <w:basedOn w:val="DefaultParagraphFont"/>
    <w:link w:val="BodyText"/>
    <w:uiPriority w:val="99"/>
    <w:semiHidden/>
    <w:rsid w:val="00D055AE"/>
    <w:rPr>
      <w:rFonts w:ascii="Times New Roman" w:hAnsi="Times New Roman" w:cs="Times New Roman"/>
      <w:sz w:val="20"/>
      <w:szCs w:val="20"/>
    </w:rPr>
  </w:style>
  <w:style w:type="paragraph" w:customStyle="1" w:styleId="Default">
    <w:name w:val="Default"/>
    <w:rsid w:val="00431368"/>
    <w:pPr>
      <w:tabs>
        <w:tab w:val="left" w:pos="720"/>
      </w:tabs>
      <w:suppressAutoHyphens/>
      <w:spacing w:line="485" w:lineRule="exact"/>
    </w:pPr>
    <w:rPr>
      <w:rFonts w:ascii="Courier" w:hAnsi="Courier" w:cs="Courier"/>
      <w:sz w:val="18"/>
      <w:szCs w:val="18"/>
    </w:rPr>
  </w:style>
  <w:style w:type="paragraph" w:styleId="ListParagraph">
    <w:name w:val="List Paragraph"/>
    <w:basedOn w:val="Normal"/>
    <w:uiPriority w:val="34"/>
    <w:qFormat/>
    <w:rsid w:val="001E5002"/>
    <w:pPr>
      <w:ind w:left="720"/>
      <w:contextualSpacing/>
    </w:pPr>
  </w:style>
  <w:style w:type="paragraph" w:styleId="Title">
    <w:name w:val="Title"/>
    <w:basedOn w:val="Normal"/>
    <w:next w:val="Normal"/>
    <w:link w:val="TitleChar"/>
    <w:uiPriority w:val="99"/>
    <w:qFormat/>
    <w:rsid w:val="00D00868"/>
    <w:pPr>
      <w:contextualSpacing/>
    </w:pPr>
    <w:rPr>
      <w:rFonts w:ascii="Cambria" w:hAnsi="Cambria" w:cs="Cambria"/>
      <w:spacing w:val="-10"/>
      <w:kern w:val="28"/>
      <w:sz w:val="56"/>
      <w:szCs w:val="56"/>
    </w:rPr>
  </w:style>
  <w:style w:type="character" w:customStyle="1" w:styleId="TitleChar">
    <w:name w:val="Title Char"/>
    <w:basedOn w:val="DefaultParagraphFont"/>
    <w:link w:val="Title"/>
    <w:uiPriority w:val="99"/>
    <w:rsid w:val="00D00868"/>
    <w:rPr>
      <w:rFonts w:ascii="Cambria" w:hAnsi="Cambria" w:cs="Cambria"/>
      <w:spacing w:val="-10"/>
      <w:kern w:val="28"/>
      <w:sz w:val="56"/>
      <w:szCs w:val="56"/>
    </w:rPr>
  </w:style>
  <w:style w:type="character" w:styleId="Hyperlink">
    <w:name w:val="Hyperlink"/>
    <w:basedOn w:val="DefaultParagraphFont"/>
    <w:uiPriority w:val="99"/>
    <w:semiHidden/>
    <w:rsid w:val="00FB5CC5"/>
    <w:rPr>
      <w:color w:val="0000FF"/>
      <w:u w:val="single"/>
    </w:rPr>
  </w:style>
  <w:style w:type="paragraph" w:styleId="PlainText">
    <w:name w:val="Plain Text"/>
    <w:basedOn w:val="Normal"/>
    <w:link w:val="PlainTextChar"/>
    <w:uiPriority w:val="99"/>
    <w:semiHidden/>
    <w:unhideWhenUsed/>
    <w:rsid w:val="0036346B"/>
    <w:rPr>
      <w:rFonts w:ascii="Calibri Light" w:hAnsi="Calibri Light" w:cstheme="minorBidi"/>
      <w:sz w:val="22"/>
      <w:szCs w:val="21"/>
    </w:rPr>
  </w:style>
  <w:style w:type="character" w:customStyle="1" w:styleId="PlainTextChar">
    <w:name w:val="Plain Text Char"/>
    <w:basedOn w:val="DefaultParagraphFont"/>
    <w:link w:val="PlainText"/>
    <w:uiPriority w:val="99"/>
    <w:semiHidden/>
    <w:rsid w:val="0036346B"/>
    <w:rPr>
      <w:rFonts w:ascii="Calibri Light" w:eastAsia="Times New Roman" w:hAnsi="Calibri Light" w:cstheme="minorBidi"/>
      <w:szCs w:val="21"/>
    </w:rPr>
  </w:style>
  <w:style w:type="paragraph" w:customStyle="1" w:styleId="xmsonormal">
    <w:name w:val="x_msonormal"/>
    <w:basedOn w:val="Normal"/>
    <w:rsid w:val="0069505E"/>
    <w:rPr>
      <w:rFonts w:ascii="Calibri" w:eastAsiaTheme="minorHAnsi" w:hAnsi="Calibri" w:cs="Calibri"/>
      <w:sz w:val="22"/>
      <w:szCs w:val="22"/>
    </w:rPr>
  </w:style>
  <w:style w:type="paragraph" w:styleId="Revision">
    <w:name w:val="Revision"/>
    <w:hidden/>
    <w:uiPriority w:val="99"/>
    <w:semiHidden/>
    <w:rsid w:val="00242C3C"/>
    <w:rPr>
      <w:rFonts w:ascii="Times New Roman" w:eastAsia="Times New Roman" w:hAnsi="Times New Roman"/>
      <w:sz w:val="20"/>
      <w:szCs w:val="20"/>
    </w:rPr>
  </w:style>
  <w:style w:type="paragraph" w:customStyle="1" w:styleId="Header1">
    <w:name w:val="Header+1"/>
    <w:basedOn w:val="Default"/>
    <w:next w:val="Default"/>
    <w:rsid w:val="0007221E"/>
    <w:pPr>
      <w:tabs>
        <w:tab w:val="clear" w:pos="720"/>
      </w:tabs>
      <w:suppressAutoHyphens w:val="0"/>
      <w:autoSpaceDE w:val="0"/>
      <w:autoSpaceDN w:val="0"/>
      <w:adjustRightInd w:val="0"/>
      <w:spacing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07DF"/>
    <w:rPr>
      <w:i/>
      <w:iCs/>
    </w:rPr>
  </w:style>
  <w:style w:type="character" w:styleId="Strong">
    <w:name w:val="Strong"/>
    <w:basedOn w:val="DefaultParagraphFont"/>
    <w:uiPriority w:val="22"/>
    <w:qFormat/>
    <w:rsid w:val="00B073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3340125">
      <w:marLeft w:val="0"/>
      <w:marRight w:val="0"/>
      <w:marTop w:val="0"/>
      <w:marBottom w:val="0"/>
      <w:divBdr>
        <w:top w:val="none" w:sz="0" w:space="0" w:color="auto"/>
        <w:left w:val="none" w:sz="0" w:space="0" w:color="auto"/>
        <w:bottom w:val="none" w:sz="0" w:space="0" w:color="auto"/>
        <w:right w:val="none" w:sz="0" w:space="0" w:color="auto"/>
      </w:divBdr>
    </w:div>
    <w:div w:id="333340126">
      <w:marLeft w:val="0"/>
      <w:marRight w:val="0"/>
      <w:marTop w:val="0"/>
      <w:marBottom w:val="0"/>
      <w:divBdr>
        <w:top w:val="none" w:sz="0" w:space="0" w:color="auto"/>
        <w:left w:val="none" w:sz="0" w:space="0" w:color="auto"/>
        <w:bottom w:val="none" w:sz="0" w:space="0" w:color="auto"/>
        <w:right w:val="none" w:sz="0" w:space="0" w:color="auto"/>
      </w:divBdr>
    </w:div>
    <w:div w:id="333340127">
      <w:marLeft w:val="0"/>
      <w:marRight w:val="0"/>
      <w:marTop w:val="0"/>
      <w:marBottom w:val="0"/>
      <w:divBdr>
        <w:top w:val="none" w:sz="0" w:space="0" w:color="auto"/>
        <w:left w:val="none" w:sz="0" w:space="0" w:color="auto"/>
        <w:bottom w:val="none" w:sz="0" w:space="0" w:color="auto"/>
        <w:right w:val="none" w:sz="0" w:space="0" w:color="auto"/>
      </w:divBdr>
    </w:div>
    <w:div w:id="561794373">
      <w:bodyDiv w:val="1"/>
      <w:marLeft w:val="0"/>
      <w:marRight w:val="0"/>
      <w:marTop w:val="0"/>
      <w:marBottom w:val="0"/>
      <w:divBdr>
        <w:top w:val="none" w:sz="0" w:space="0" w:color="auto"/>
        <w:left w:val="none" w:sz="0" w:space="0" w:color="auto"/>
        <w:bottom w:val="none" w:sz="0" w:space="0" w:color="auto"/>
        <w:right w:val="none" w:sz="0" w:space="0" w:color="auto"/>
      </w:divBdr>
    </w:div>
    <w:div w:id="588806649">
      <w:bodyDiv w:val="1"/>
      <w:marLeft w:val="0"/>
      <w:marRight w:val="0"/>
      <w:marTop w:val="0"/>
      <w:marBottom w:val="0"/>
      <w:divBdr>
        <w:top w:val="none" w:sz="0" w:space="0" w:color="auto"/>
        <w:left w:val="none" w:sz="0" w:space="0" w:color="auto"/>
        <w:bottom w:val="none" w:sz="0" w:space="0" w:color="auto"/>
        <w:right w:val="none" w:sz="0" w:space="0" w:color="auto"/>
      </w:divBdr>
    </w:div>
    <w:div w:id="602417232">
      <w:bodyDiv w:val="1"/>
      <w:marLeft w:val="0"/>
      <w:marRight w:val="0"/>
      <w:marTop w:val="0"/>
      <w:marBottom w:val="0"/>
      <w:divBdr>
        <w:top w:val="none" w:sz="0" w:space="0" w:color="auto"/>
        <w:left w:val="none" w:sz="0" w:space="0" w:color="auto"/>
        <w:bottom w:val="none" w:sz="0" w:space="0" w:color="auto"/>
        <w:right w:val="none" w:sz="0" w:space="0" w:color="auto"/>
      </w:divBdr>
    </w:div>
    <w:div w:id="1110659635">
      <w:bodyDiv w:val="1"/>
      <w:marLeft w:val="0"/>
      <w:marRight w:val="0"/>
      <w:marTop w:val="0"/>
      <w:marBottom w:val="0"/>
      <w:divBdr>
        <w:top w:val="none" w:sz="0" w:space="0" w:color="auto"/>
        <w:left w:val="none" w:sz="0" w:space="0" w:color="auto"/>
        <w:bottom w:val="none" w:sz="0" w:space="0" w:color="auto"/>
        <w:right w:val="none" w:sz="0" w:space="0" w:color="auto"/>
      </w:divBdr>
    </w:div>
    <w:div w:id="1166240227">
      <w:bodyDiv w:val="1"/>
      <w:marLeft w:val="0"/>
      <w:marRight w:val="0"/>
      <w:marTop w:val="0"/>
      <w:marBottom w:val="0"/>
      <w:divBdr>
        <w:top w:val="none" w:sz="0" w:space="0" w:color="auto"/>
        <w:left w:val="none" w:sz="0" w:space="0" w:color="auto"/>
        <w:bottom w:val="none" w:sz="0" w:space="0" w:color="auto"/>
        <w:right w:val="none" w:sz="0" w:space="0" w:color="auto"/>
      </w:divBdr>
    </w:div>
    <w:div w:id="1506047229">
      <w:bodyDiv w:val="1"/>
      <w:marLeft w:val="0"/>
      <w:marRight w:val="0"/>
      <w:marTop w:val="0"/>
      <w:marBottom w:val="0"/>
      <w:divBdr>
        <w:top w:val="none" w:sz="0" w:space="0" w:color="auto"/>
        <w:left w:val="none" w:sz="0" w:space="0" w:color="auto"/>
        <w:bottom w:val="none" w:sz="0" w:space="0" w:color="auto"/>
        <w:right w:val="none" w:sz="0" w:space="0" w:color="auto"/>
      </w:divBdr>
    </w:div>
    <w:div w:id="1515026427">
      <w:bodyDiv w:val="1"/>
      <w:marLeft w:val="0"/>
      <w:marRight w:val="0"/>
      <w:marTop w:val="0"/>
      <w:marBottom w:val="0"/>
      <w:divBdr>
        <w:top w:val="none" w:sz="0" w:space="0" w:color="auto"/>
        <w:left w:val="none" w:sz="0" w:space="0" w:color="auto"/>
        <w:bottom w:val="none" w:sz="0" w:space="0" w:color="auto"/>
        <w:right w:val="none" w:sz="0" w:space="0" w:color="auto"/>
      </w:divBdr>
    </w:div>
    <w:div w:id="1604990678">
      <w:bodyDiv w:val="1"/>
      <w:marLeft w:val="0"/>
      <w:marRight w:val="0"/>
      <w:marTop w:val="0"/>
      <w:marBottom w:val="0"/>
      <w:divBdr>
        <w:top w:val="none" w:sz="0" w:space="0" w:color="auto"/>
        <w:left w:val="none" w:sz="0" w:space="0" w:color="auto"/>
        <w:bottom w:val="none" w:sz="0" w:space="0" w:color="auto"/>
        <w:right w:val="none" w:sz="0" w:space="0" w:color="auto"/>
      </w:divBdr>
    </w:div>
    <w:div w:id="1628243046">
      <w:bodyDiv w:val="1"/>
      <w:marLeft w:val="0"/>
      <w:marRight w:val="0"/>
      <w:marTop w:val="0"/>
      <w:marBottom w:val="0"/>
      <w:divBdr>
        <w:top w:val="none" w:sz="0" w:space="0" w:color="auto"/>
        <w:left w:val="none" w:sz="0" w:space="0" w:color="auto"/>
        <w:bottom w:val="none" w:sz="0" w:space="0" w:color="auto"/>
        <w:right w:val="none" w:sz="0" w:space="0" w:color="auto"/>
      </w:divBdr>
    </w:div>
    <w:div w:id="175697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B45CD-E081-4C13-9119-BBA6391A3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3955</Words>
  <Characters>21681</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BAY AREA AIR QUALITY MANAGEMENT DISTRICT</vt:lpstr>
    </vt:vector>
  </TitlesOfParts>
  <Company/>
  <LinksUpToDate>false</LinksUpToDate>
  <CharactersWithSpaces>25585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 AREA AIR QUALITY MANAGEMENT DISTRICT</dc:title>
  <dc:subject/>
  <dc:creator>Sean A. Gallagher</dc:creator>
  <cp:keywords/>
  <dc:description/>
  <cp:lastModifiedBy>Marcy Hiratzka</cp:lastModifiedBy>
  <cp:revision>10</cp:revision>
  <cp:lastPrinted>2023-02-06T17:53:00Z</cp:lastPrinted>
  <dcterms:created xsi:type="dcterms:W3CDTF">2024-03-04T17:37:00Z</dcterms:created>
  <dcterms:modified xsi:type="dcterms:W3CDTF">2024-05-06T21:45:00Z</dcterms:modified>
</cp:coreProperties>
</file>